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355" w:rsidRDefault="00C06FE7">
      <w:pPr>
        <w:rPr>
          <w:rFonts w:cs="David"/>
          <w:b/>
          <w:bCs/>
          <w:sz w:val="32"/>
          <w:szCs w:val="32"/>
          <w:u w:val="single"/>
          <w:rtl/>
        </w:rPr>
      </w:pPr>
      <w:r>
        <w:rPr>
          <w:rFonts w:cs="David" w:hint="cs"/>
          <w:b/>
          <w:bCs/>
          <w:sz w:val="32"/>
          <w:szCs w:val="32"/>
          <w:u w:val="single"/>
          <w:rtl/>
        </w:rPr>
        <w:t>פסקי דין מובילים</w:t>
      </w:r>
    </w:p>
    <w:p w:rsidR="00F064A1" w:rsidRDefault="00F064A1">
      <w:pPr>
        <w:rPr>
          <w:rFonts w:cs="David" w:hint="cs"/>
          <w:b/>
          <w:bCs/>
          <w:sz w:val="32"/>
          <w:szCs w:val="32"/>
          <w:u w:val="single"/>
          <w:rtl/>
        </w:rPr>
      </w:pPr>
    </w:p>
    <w:p w:rsidR="00C06FE7" w:rsidRPr="00855955" w:rsidRDefault="002D2702" w:rsidP="002D2702">
      <w:pPr>
        <w:ind w:left="720" w:hanging="720"/>
        <w:rPr>
          <w:rFonts w:cs="David" w:hint="cs"/>
          <w:b/>
          <w:bCs/>
          <w:sz w:val="32"/>
          <w:szCs w:val="32"/>
          <w:u w:val="single"/>
          <w:rtl/>
        </w:rPr>
      </w:pPr>
      <w:r w:rsidRPr="002D2702">
        <w:rPr>
          <w:rFonts w:cs="David" w:hint="cs"/>
          <w:b/>
          <w:bCs/>
          <w:sz w:val="32"/>
          <w:szCs w:val="32"/>
          <w:rtl/>
        </w:rPr>
        <w:t>1.</w:t>
      </w:r>
      <w:r w:rsidRPr="002D2702">
        <w:rPr>
          <w:rFonts w:cs="David" w:hint="cs"/>
          <w:b/>
          <w:bCs/>
          <w:sz w:val="32"/>
          <w:szCs w:val="32"/>
          <w:rtl/>
        </w:rPr>
        <w:tab/>
      </w:r>
      <w:r w:rsidR="00C06FE7" w:rsidRPr="00855955">
        <w:rPr>
          <w:rFonts w:cs="David" w:hint="cs"/>
          <w:b/>
          <w:bCs/>
          <w:sz w:val="32"/>
          <w:szCs w:val="32"/>
          <w:u w:val="single"/>
          <w:rtl/>
        </w:rPr>
        <w:t xml:space="preserve">ע"א 7954/03 אמדאוס </w:t>
      </w:r>
      <w:proofErr w:type="spellStart"/>
      <w:r w:rsidR="00C06FE7" w:rsidRPr="00855955">
        <w:rPr>
          <w:rFonts w:cs="David" w:hint="cs"/>
          <w:b/>
          <w:bCs/>
          <w:sz w:val="32"/>
          <w:szCs w:val="32"/>
          <w:u w:val="single"/>
          <w:rtl/>
        </w:rPr>
        <w:t>דוולופמנט</w:t>
      </w:r>
      <w:proofErr w:type="spellEnd"/>
      <w:r w:rsidR="00C06FE7" w:rsidRPr="00855955">
        <w:rPr>
          <w:rFonts w:cs="David" w:hint="cs"/>
          <w:b/>
          <w:bCs/>
          <w:sz w:val="32"/>
          <w:szCs w:val="32"/>
          <w:u w:val="single"/>
          <w:rtl/>
        </w:rPr>
        <w:t xml:space="preserve"> </w:t>
      </w:r>
      <w:proofErr w:type="spellStart"/>
      <w:r w:rsidR="00C06FE7" w:rsidRPr="00855955">
        <w:rPr>
          <w:rFonts w:cs="David" w:hint="cs"/>
          <w:b/>
          <w:bCs/>
          <w:sz w:val="32"/>
          <w:szCs w:val="32"/>
          <w:u w:val="single"/>
          <w:rtl/>
        </w:rPr>
        <w:t>אינק</w:t>
      </w:r>
      <w:proofErr w:type="spellEnd"/>
      <w:r w:rsidR="00C06FE7" w:rsidRPr="00855955">
        <w:rPr>
          <w:rFonts w:cs="David" w:hint="cs"/>
          <w:b/>
          <w:bCs/>
          <w:sz w:val="32"/>
          <w:szCs w:val="32"/>
          <w:u w:val="single"/>
          <w:rtl/>
        </w:rPr>
        <w:t xml:space="preserve"> נ' הבנק למסחר בע"מ בפירוק</w:t>
      </w:r>
    </w:p>
    <w:p w:rsidR="00C06FE7" w:rsidRPr="00855955" w:rsidRDefault="00C06FE7">
      <w:pPr>
        <w:rPr>
          <w:rFonts w:cs="David" w:hint="cs"/>
          <w:b/>
          <w:bCs/>
          <w:sz w:val="24"/>
          <w:szCs w:val="24"/>
          <w:rtl/>
        </w:rPr>
      </w:pPr>
      <w:r w:rsidRPr="00855955">
        <w:rPr>
          <w:rFonts w:cs="David" w:hint="cs"/>
          <w:b/>
          <w:bCs/>
          <w:sz w:val="24"/>
          <w:szCs w:val="24"/>
          <w:rtl/>
        </w:rPr>
        <w:t>נושה של החברה בפירוק יכול לקזז טענות שלו מול החברה עד למועד צו הפירוק</w:t>
      </w:r>
      <w:r w:rsidR="00855955" w:rsidRPr="00855955">
        <w:rPr>
          <w:rFonts w:cs="David" w:hint="cs"/>
          <w:b/>
          <w:bCs/>
          <w:sz w:val="24"/>
          <w:szCs w:val="24"/>
          <w:rtl/>
        </w:rPr>
        <w:t>.</w:t>
      </w:r>
    </w:p>
    <w:p w:rsidR="00F26E77" w:rsidRPr="00C06FE7" w:rsidRDefault="00F26E77">
      <w:pPr>
        <w:rPr>
          <w:rFonts w:cs="David" w:hint="cs"/>
          <w:b/>
          <w:bCs/>
          <w:sz w:val="24"/>
          <w:szCs w:val="24"/>
          <w:rtl/>
        </w:rPr>
      </w:pPr>
    </w:p>
    <w:tbl>
      <w:tblPr>
        <w:bidiVisual/>
        <w:tblW w:w="0" w:type="auto"/>
        <w:jc w:val="right"/>
        <w:tblInd w:w="-665" w:type="dxa"/>
        <w:tblLook w:val="0000" w:firstRow="0" w:lastRow="0" w:firstColumn="0" w:lastColumn="0" w:noHBand="0" w:noVBand="0"/>
      </w:tblPr>
      <w:tblGrid>
        <w:gridCol w:w="8522"/>
      </w:tblGrid>
      <w:tr w:rsidR="00C06FE7" w:rsidRPr="00C06FE7" w:rsidTr="00C86829">
        <w:trPr>
          <w:jc w:val="right"/>
        </w:trPr>
        <w:tc>
          <w:tcPr>
            <w:tcW w:w="8522" w:type="dxa"/>
          </w:tcPr>
          <w:p w:rsidR="00C06FE7" w:rsidRPr="00C06FE7" w:rsidRDefault="00C06FE7" w:rsidP="00C06FE7">
            <w:pPr>
              <w:overflowPunct w:val="0"/>
              <w:autoSpaceDE w:val="0"/>
              <w:autoSpaceDN w:val="0"/>
              <w:adjustRightInd w:val="0"/>
              <w:spacing w:after="0" w:line="360" w:lineRule="auto"/>
              <w:jc w:val="center"/>
              <w:rPr>
                <w:rFonts w:ascii="Times New Roman" w:eastAsia="Times New Roman" w:hAnsi="Times New Roman" w:cs="David"/>
                <w:bCs/>
                <w:sz w:val="28"/>
                <w:szCs w:val="28"/>
                <w:lang w:eastAsia="he-IL"/>
              </w:rPr>
            </w:pPr>
            <w:r w:rsidRPr="00C06FE7">
              <w:rPr>
                <w:rFonts w:ascii="Times New Roman" w:eastAsia="Times New Roman" w:hAnsi="Times New Roman" w:cs="David" w:hint="eastAsia"/>
                <w:bCs/>
                <w:sz w:val="20"/>
                <w:szCs w:val="28"/>
                <w:rtl/>
                <w:lang w:eastAsia="he-IL"/>
              </w:rPr>
              <w:t>בבית</w:t>
            </w:r>
            <w:r w:rsidRPr="00C06FE7">
              <w:rPr>
                <w:rFonts w:ascii="Times New Roman" w:eastAsia="Times New Roman" w:hAnsi="Times New Roman" w:cs="David"/>
                <w:bCs/>
                <w:sz w:val="20"/>
                <w:szCs w:val="28"/>
                <w:rtl/>
                <w:lang w:eastAsia="he-IL"/>
              </w:rPr>
              <w:t xml:space="preserve"> </w:t>
            </w:r>
            <w:r w:rsidRPr="00C06FE7">
              <w:rPr>
                <w:rFonts w:ascii="Times New Roman" w:eastAsia="Times New Roman" w:hAnsi="Times New Roman" w:cs="David" w:hint="eastAsia"/>
                <w:bCs/>
                <w:sz w:val="20"/>
                <w:szCs w:val="28"/>
                <w:rtl/>
                <w:lang w:eastAsia="he-IL"/>
              </w:rPr>
              <w:t>המשפט</w:t>
            </w:r>
            <w:r w:rsidRPr="00C06FE7">
              <w:rPr>
                <w:rFonts w:ascii="Times New Roman" w:eastAsia="Times New Roman" w:hAnsi="Times New Roman" w:cs="David"/>
                <w:bCs/>
                <w:sz w:val="20"/>
                <w:szCs w:val="28"/>
                <w:rtl/>
                <w:lang w:eastAsia="he-IL"/>
              </w:rPr>
              <w:t xml:space="preserve"> העליון </w:t>
            </w:r>
            <w:r w:rsidRPr="00C06FE7">
              <w:rPr>
                <w:rFonts w:ascii="Times New Roman" w:eastAsia="Times New Roman" w:hAnsi="Times New Roman" w:cs="David" w:hint="eastAsia"/>
                <w:bCs/>
                <w:sz w:val="20"/>
                <w:szCs w:val="28"/>
                <w:rtl/>
                <w:lang w:eastAsia="he-IL"/>
              </w:rPr>
              <w:t>בשבתו</w:t>
            </w:r>
            <w:r w:rsidRPr="00C06FE7">
              <w:rPr>
                <w:rFonts w:ascii="Times New Roman" w:eastAsia="Times New Roman" w:hAnsi="Times New Roman" w:cs="David"/>
                <w:bCs/>
                <w:sz w:val="20"/>
                <w:szCs w:val="28"/>
                <w:rtl/>
                <w:lang w:eastAsia="he-IL"/>
              </w:rPr>
              <w:t xml:space="preserve"> כבית משפט לערעורים אזרחיים</w:t>
            </w:r>
          </w:p>
        </w:tc>
      </w:tr>
    </w:tbl>
    <w:p w:rsidR="00C06FE7" w:rsidRPr="00C06FE7" w:rsidRDefault="00C06FE7" w:rsidP="00C06FE7">
      <w:pPr>
        <w:overflowPunct w:val="0"/>
        <w:autoSpaceDE w:val="0"/>
        <w:autoSpaceDN w:val="0"/>
        <w:adjustRightInd w:val="0"/>
        <w:spacing w:after="0" w:line="240" w:lineRule="auto"/>
        <w:jc w:val="right"/>
        <w:rPr>
          <w:rFonts w:ascii="Times New Roman" w:eastAsia="Times New Roman" w:hAnsi="Times New Roman" w:cs="Miriam"/>
          <w:b/>
          <w:bCs/>
          <w:sz w:val="20"/>
          <w:szCs w:val="24"/>
          <w:lang w:eastAsia="he-IL"/>
        </w:rPr>
      </w:pPr>
      <w:r w:rsidRPr="00C06FE7">
        <w:rPr>
          <w:rFonts w:ascii="Times New Roman" w:eastAsia="Times New Roman" w:hAnsi="Times New Roman" w:cs="Miriam"/>
          <w:b/>
          <w:bCs/>
          <w:sz w:val="24"/>
          <w:szCs w:val="24"/>
          <w:lang w:eastAsia="he-IL"/>
        </w:rPr>
        <w:t> </w:t>
      </w:r>
    </w:p>
    <w:tbl>
      <w:tblPr>
        <w:bidiVisual/>
        <w:tblW w:w="0" w:type="auto"/>
        <w:jc w:val="right"/>
        <w:tblInd w:w="27" w:type="dxa"/>
        <w:tblLook w:val="0000" w:firstRow="0" w:lastRow="0" w:firstColumn="0" w:lastColumn="0" w:noHBand="0" w:noVBand="0"/>
      </w:tblPr>
      <w:tblGrid>
        <w:gridCol w:w="8495"/>
      </w:tblGrid>
      <w:tr w:rsidR="00C06FE7" w:rsidRPr="00C06FE7" w:rsidTr="00C86829">
        <w:trPr>
          <w:trHeight w:val="342"/>
          <w:jc w:val="right"/>
        </w:trPr>
        <w:tc>
          <w:tcPr>
            <w:tcW w:w="8501" w:type="dxa"/>
          </w:tcPr>
          <w:p w:rsidR="00C06FE7" w:rsidRPr="00C06FE7" w:rsidRDefault="00C06FE7" w:rsidP="00C06FE7">
            <w:pPr>
              <w:overflowPunct w:val="0"/>
              <w:autoSpaceDE w:val="0"/>
              <w:autoSpaceDN w:val="0"/>
              <w:adjustRightInd w:val="0"/>
              <w:spacing w:after="0" w:line="360" w:lineRule="auto"/>
              <w:jc w:val="right"/>
              <w:rPr>
                <w:rFonts w:ascii="Times New Roman" w:eastAsia="Times New Roman" w:hAnsi="Times New Roman" w:cs="David"/>
                <w:bCs/>
                <w:sz w:val="28"/>
                <w:szCs w:val="28"/>
                <w:lang w:eastAsia="he-IL"/>
              </w:rPr>
            </w:pPr>
            <w:r w:rsidRPr="00C06FE7">
              <w:rPr>
                <w:rFonts w:ascii="Times New Roman" w:eastAsia="Times New Roman" w:hAnsi="Times New Roman" w:cs="David" w:hint="eastAsia"/>
                <w:bCs/>
                <w:sz w:val="28"/>
                <w:szCs w:val="28"/>
                <w:rtl/>
                <w:lang w:eastAsia="he-IL"/>
              </w:rPr>
              <w:t>ע</w:t>
            </w:r>
            <w:r w:rsidRPr="00C06FE7">
              <w:rPr>
                <w:rFonts w:ascii="Times New Roman" w:eastAsia="Times New Roman" w:hAnsi="Times New Roman" w:cs="David"/>
                <w:bCs/>
                <w:sz w:val="28"/>
                <w:szCs w:val="28"/>
                <w:rtl/>
                <w:lang w:eastAsia="he-IL"/>
              </w:rPr>
              <w:t>"א  7954/03</w:t>
            </w:r>
          </w:p>
        </w:tc>
      </w:tr>
    </w:tbl>
    <w:p w:rsidR="00C06FE7" w:rsidRPr="00C06FE7" w:rsidRDefault="00C06FE7" w:rsidP="00C06FE7">
      <w:pPr>
        <w:overflowPunct w:val="0"/>
        <w:autoSpaceDE w:val="0"/>
        <w:autoSpaceDN w:val="0"/>
        <w:adjustRightInd w:val="0"/>
        <w:spacing w:after="0" w:line="240" w:lineRule="auto"/>
        <w:jc w:val="right"/>
        <w:rPr>
          <w:rFonts w:ascii="Times New Roman" w:eastAsia="Times New Roman" w:hAnsi="Times New Roman" w:cs="Miriam"/>
          <w:b/>
          <w:bCs/>
          <w:sz w:val="20"/>
          <w:szCs w:val="24"/>
          <w:rtl/>
          <w:lang w:eastAsia="he-IL"/>
        </w:rPr>
      </w:pPr>
      <w:r w:rsidRPr="00C06FE7">
        <w:rPr>
          <w:rFonts w:ascii="Times New Roman" w:eastAsia="Times New Roman" w:hAnsi="Times New Roman" w:cs="Miriam"/>
          <w:b/>
          <w:bCs/>
          <w:sz w:val="24"/>
          <w:szCs w:val="24"/>
          <w:lang w:eastAsia="he-IL"/>
        </w:rPr>
        <w:t> </w:t>
      </w:r>
    </w:p>
    <w:tbl>
      <w:tblPr>
        <w:bidiVisual/>
        <w:tblW w:w="0" w:type="auto"/>
        <w:jc w:val="right"/>
        <w:tblLook w:val="0000" w:firstRow="0" w:lastRow="0" w:firstColumn="0" w:lastColumn="0" w:noHBand="0" w:noVBand="0"/>
      </w:tblPr>
      <w:tblGrid>
        <w:gridCol w:w="3284"/>
        <w:gridCol w:w="5238"/>
      </w:tblGrid>
      <w:tr w:rsidR="00C06FE7" w:rsidRPr="00C06FE7" w:rsidTr="00C86829">
        <w:trPr>
          <w:trHeight w:val="287"/>
          <w:jc w:val="right"/>
        </w:trPr>
        <w:tc>
          <w:tcPr>
            <w:tcW w:w="3284"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Miriam"/>
                <w:b/>
                <w:bCs/>
                <w:szCs w:val="28"/>
                <w:lang w:eastAsia="he-IL"/>
              </w:rPr>
            </w:pPr>
            <w:bookmarkStart w:id="0" w:name="LastJudge"/>
            <w:r w:rsidRPr="00C06FE7">
              <w:rPr>
                <w:rFonts w:ascii="Times New Roman" w:eastAsia="Times New Roman" w:hAnsi="Times New Roman" w:cs="David" w:hint="eastAsia"/>
                <w:szCs w:val="28"/>
                <w:rtl/>
                <w:lang w:eastAsia="he-IL"/>
              </w:rPr>
              <w:t>בפני</w:t>
            </w:r>
            <w:r w:rsidRPr="00C06FE7">
              <w:rPr>
                <w:rFonts w:ascii="Times New Roman" w:eastAsia="Times New Roman" w:hAnsi="Times New Roman" w:cs="David"/>
                <w:szCs w:val="28"/>
                <w:rtl/>
                <w:lang w:eastAsia="he-IL"/>
              </w:rPr>
              <w:t>:</w:t>
            </w:r>
            <w:r w:rsidRPr="00C06FE7">
              <w:rPr>
                <w:rFonts w:ascii="Times New Roman" w:eastAsia="Times New Roman" w:hAnsi="Times New Roman" w:cs="David"/>
                <w:szCs w:val="28"/>
                <w:rtl/>
                <w:lang w:eastAsia="he-IL"/>
              </w:rPr>
              <w:tab/>
            </w:r>
          </w:p>
        </w:tc>
        <w:tc>
          <w:tcPr>
            <w:tcW w:w="5238"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rtl/>
                <w:lang w:eastAsia="he-IL"/>
              </w:rPr>
            </w:pPr>
            <w:r w:rsidRPr="00C06FE7">
              <w:rPr>
                <w:rFonts w:ascii="Times New Roman" w:eastAsia="Times New Roman" w:hAnsi="Times New Roman" w:cs="David" w:hint="eastAsia"/>
                <w:szCs w:val="28"/>
                <w:rtl/>
                <w:lang w:eastAsia="he-IL"/>
              </w:rPr>
              <w:t>כבוד</w:t>
            </w:r>
            <w:r w:rsidRPr="00C06FE7">
              <w:rPr>
                <w:rFonts w:ascii="Times New Roman" w:eastAsia="Times New Roman" w:hAnsi="Times New Roman" w:cs="David"/>
                <w:szCs w:val="28"/>
                <w:rtl/>
                <w:lang w:eastAsia="he-IL"/>
              </w:rPr>
              <w:t xml:space="preserve"> </w:t>
            </w:r>
            <w:proofErr w:type="spellStart"/>
            <w:r w:rsidRPr="00C06FE7">
              <w:rPr>
                <w:rFonts w:ascii="Times New Roman" w:eastAsia="Times New Roman" w:hAnsi="Times New Roman" w:cs="David" w:hint="eastAsia"/>
                <w:szCs w:val="28"/>
                <w:rtl/>
                <w:lang w:eastAsia="he-IL"/>
              </w:rPr>
              <w:t>המישנה</w:t>
            </w:r>
            <w:proofErr w:type="spellEnd"/>
            <w:r w:rsidRPr="00C06FE7">
              <w:rPr>
                <w:rFonts w:ascii="Times New Roman" w:eastAsia="Times New Roman" w:hAnsi="Times New Roman" w:cs="David"/>
                <w:szCs w:val="28"/>
                <w:rtl/>
                <w:lang w:eastAsia="he-IL"/>
              </w:rPr>
              <w:t xml:space="preserve"> לנשיא מ' חשין</w:t>
            </w:r>
          </w:p>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rtl/>
                <w:lang w:eastAsia="he-IL"/>
              </w:rPr>
            </w:pPr>
            <w:r w:rsidRPr="00C06FE7">
              <w:rPr>
                <w:rFonts w:ascii="Times New Roman" w:eastAsia="Times New Roman" w:hAnsi="Times New Roman" w:cs="David" w:hint="eastAsia"/>
                <w:szCs w:val="28"/>
                <w:rtl/>
                <w:lang w:eastAsia="he-IL"/>
              </w:rPr>
              <w:t>כבוד</w:t>
            </w:r>
            <w:r w:rsidRPr="00C06FE7">
              <w:rPr>
                <w:rFonts w:ascii="Times New Roman" w:eastAsia="Times New Roman" w:hAnsi="Times New Roman" w:cs="David"/>
                <w:szCs w:val="28"/>
                <w:rtl/>
                <w:lang w:eastAsia="he-IL"/>
              </w:rPr>
              <w:t xml:space="preserve"> </w:t>
            </w:r>
            <w:r w:rsidRPr="00C06FE7">
              <w:rPr>
                <w:rFonts w:ascii="Times New Roman" w:eastAsia="Times New Roman" w:hAnsi="Times New Roman" w:cs="David" w:hint="eastAsia"/>
                <w:szCs w:val="28"/>
                <w:rtl/>
                <w:lang w:eastAsia="he-IL"/>
              </w:rPr>
              <w:t>השופט</w:t>
            </w:r>
            <w:r w:rsidRPr="00C06FE7">
              <w:rPr>
                <w:rFonts w:ascii="Times New Roman" w:eastAsia="Times New Roman" w:hAnsi="Times New Roman" w:cs="David"/>
                <w:szCs w:val="28"/>
                <w:rtl/>
                <w:lang w:eastAsia="he-IL"/>
              </w:rPr>
              <w:t xml:space="preserve"> א' </w:t>
            </w:r>
            <w:proofErr w:type="spellStart"/>
            <w:r w:rsidRPr="00C06FE7">
              <w:rPr>
                <w:rFonts w:ascii="Times New Roman" w:eastAsia="Times New Roman" w:hAnsi="Times New Roman" w:cs="David"/>
                <w:szCs w:val="28"/>
                <w:rtl/>
                <w:lang w:eastAsia="he-IL"/>
              </w:rPr>
              <w:t>גרוניס</w:t>
            </w:r>
            <w:proofErr w:type="spellEnd"/>
          </w:p>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כבוד</w:t>
            </w:r>
            <w:r w:rsidRPr="00C06FE7">
              <w:rPr>
                <w:rFonts w:ascii="Times New Roman" w:eastAsia="Times New Roman" w:hAnsi="Times New Roman" w:cs="David"/>
                <w:szCs w:val="28"/>
                <w:rtl/>
                <w:lang w:eastAsia="he-IL"/>
              </w:rPr>
              <w:t xml:space="preserve"> </w:t>
            </w:r>
            <w:r w:rsidRPr="00C06FE7">
              <w:rPr>
                <w:rFonts w:ascii="Times New Roman" w:eastAsia="Times New Roman" w:hAnsi="Times New Roman" w:cs="David" w:hint="eastAsia"/>
                <w:szCs w:val="28"/>
                <w:rtl/>
                <w:lang w:eastAsia="he-IL"/>
              </w:rPr>
              <w:t>השופט</w:t>
            </w:r>
            <w:r w:rsidRPr="00C06FE7">
              <w:rPr>
                <w:rFonts w:ascii="Times New Roman" w:eastAsia="Times New Roman" w:hAnsi="Times New Roman" w:cs="David"/>
                <w:szCs w:val="28"/>
                <w:rtl/>
                <w:lang w:eastAsia="he-IL"/>
              </w:rPr>
              <w:t xml:space="preserve"> י' עדיאל</w:t>
            </w:r>
          </w:p>
        </w:tc>
      </w:tr>
    </w:tbl>
    <w:bookmarkEnd w:id="0"/>
    <w:p w:rsidR="00C06FE7" w:rsidRPr="00C06FE7" w:rsidRDefault="00C06FE7" w:rsidP="00C06FE7">
      <w:pPr>
        <w:tabs>
          <w:tab w:val="left" w:pos="3210"/>
          <w:tab w:val="left" w:pos="6753"/>
        </w:tabs>
        <w:overflowPunct w:val="0"/>
        <w:autoSpaceDE w:val="0"/>
        <w:autoSpaceDN w:val="0"/>
        <w:adjustRightInd w:val="0"/>
        <w:spacing w:after="0" w:line="360" w:lineRule="auto"/>
        <w:rPr>
          <w:rFonts w:ascii="Times New Roman" w:eastAsia="Times New Roman" w:hAnsi="Times New Roman" w:cs="Miriam"/>
          <w:b/>
          <w:bCs/>
          <w:spacing w:val="10"/>
          <w:szCs w:val="28"/>
          <w:rtl/>
          <w:lang w:eastAsia="he-IL"/>
        </w:rPr>
      </w:pPr>
      <w:r w:rsidRPr="00C06FE7">
        <w:rPr>
          <w:rFonts w:ascii="Times New Roman" w:eastAsia="Times New Roman" w:hAnsi="Times New Roman" w:cs="Miriam" w:hint="eastAsia"/>
          <w:b/>
          <w:bCs/>
          <w:spacing w:val="10"/>
          <w:szCs w:val="28"/>
          <w:rtl/>
          <w:lang w:eastAsia="he-IL"/>
        </w:rPr>
        <w:t> </w:t>
      </w:r>
    </w:p>
    <w:tbl>
      <w:tblPr>
        <w:bidiVisual/>
        <w:tblW w:w="0" w:type="auto"/>
        <w:jc w:val="right"/>
        <w:tblLook w:val="0000" w:firstRow="0" w:lastRow="0" w:firstColumn="0" w:lastColumn="0" w:noHBand="0" w:noVBand="0"/>
      </w:tblPr>
      <w:tblGrid>
        <w:gridCol w:w="3284"/>
        <w:gridCol w:w="5238"/>
      </w:tblGrid>
      <w:tr w:rsidR="00C06FE7" w:rsidRPr="00C06FE7" w:rsidTr="00C86829">
        <w:trPr>
          <w:jc w:val="right"/>
        </w:trPr>
        <w:tc>
          <w:tcPr>
            <w:tcW w:w="3284"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bookmarkStart w:id="1" w:name="FirstAppellant"/>
            <w:r w:rsidRPr="00C06FE7">
              <w:rPr>
                <w:rFonts w:ascii="Times New Roman" w:eastAsia="Times New Roman" w:hAnsi="Times New Roman" w:cs="David" w:hint="eastAsia"/>
                <w:szCs w:val="28"/>
                <w:rtl/>
                <w:lang w:eastAsia="he-IL"/>
              </w:rPr>
              <w:t>המערערת</w:t>
            </w:r>
            <w:r w:rsidRPr="00C06FE7">
              <w:rPr>
                <w:rFonts w:ascii="Times New Roman" w:eastAsia="Times New Roman" w:hAnsi="Times New Roman" w:cs="David"/>
                <w:szCs w:val="28"/>
                <w:rtl/>
                <w:lang w:eastAsia="he-IL"/>
              </w:rPr>
              <w:t>:</w:t>
            </w:r>
          </w:p>
        </w:tc>
        <w:tc>
          <w:tcPr>
            <w:tcW w:w="5238"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אמדאוס</w:t>
            </w:r>
            <w:r w:rsidRPr="00C06FE7">
              <w:rPr>
                <w:rFonts w:ascii="Times New Roman" w:eastAsia="Times New Roman" w:hAnsi="Times New Roman" w:cs="David"/>
                <w:szCs w:val="28"/>
                <w:rtl/>
                <w:lang w:eastAsia="he-IL"/>
              </w:rPr>
              <w:t xml:space="preserve"> </w:t>
            </w:r>
            <w:proofErr w:type="spellStart"/>
            <w:r w:rsidRPr="00C06FE7">
              <w:rPr>
                <w:rFonts w:ascii="Times New Roman" w:eastAsia="Times New Roman" w:hAnsi="Times New Roman" w:cs="David" w:hint="eastAsia"/>
                <w:szCs w:val="28"/>
                <w:rtl/>
                <w:lang w:eastAsia="he-IL"/>
              </w:rPr>
              <w:t>דוולופמנט</w:t>
            </w:r>
            <w:proofErr w:type="spellEnd"/>
            <w:r w:rsidRPr="00C06FE7">
              <w:rPr>
                <w:rFonts w:ascii="Times New Roman" w:eastAsia="Times New Roman" w:hAnsi="Times New Roman" w:cs="David"/>
                <w:szCs w:val="28"/>
                <w:rtl/>
                <w:lang w:eastAsia="he-IL"/>
              </w:rPr>
              <w:t xml:space="preserve"> </w:t>
            </w:r>
            <w:proofErr w:type="spellStart"/>
            <w:r w:rsidRPr="00C06FE7">
              <w:rPr>
                <w:rFonts w:ascii="Times New Roman" w:eastAsia="Times New Roman" w:hAnsi="Times New Roman" w:cs="David"/>
                <w:szCs w:val="28"/>
                <w:rtl/>
                <w:lang w:eastAsia="he-IL"/>
              </w:rPr>
              <w:t>אינק</w:t>
            </w:r>
            <w:proofErr w:type="spellEnd"/>
            <w:r w:rsidRPr="00C06FE7">
              <w:rPr>
                <w:rFonts w:ascii="Times New Roman" w:eastAsia="Times New Roman" w:hAnsi="Times New Roman" w:cs="David"/>
                <w:szCs w:val="28"/>
                <w:rtl/>
                <w:lang w:eastAsia="he-IL"/>
              </w:rPr>
              <w:t>.</w:t>
            </w:r>
          </w:p>
        </w:tc>
      </w:tr>
    </w:tbl>
    <w:bookmarkEnd w:id="1"/>
    <w:p w:rsidR="00C06FE7" w:rsidRPr="00C06FE7" w:rsidRDefault="00C06FE7" w:rsidP="00C06FE7">
      <w:pPr>
        <w:tabs>
          <w:tab w:val="left" w:pos="3210"/>
          <w:tab w:val="left" w:pos="6753"/>
        </w:tabs>
        <w:overflowPunct w:val="0"/>
        <w:autoSpaceDE w:val="0"/>
        <w:autoSpaceDN w:val="0"/>
        <w:adjustRightInd w:val="0"/>
        <w:spacing w:after="0" w:line="360" w:lineRule="auto"/>
        <w:rPr>
          <w:rFonts w:ascii="Times New Roman" w:eastAsia="Times New Roman" w:hAnsi="Times New Roman" w:cs="FrankRuehl"/>
          <w:spacing w:val="10"/>
          <w:szCs w:val="28"/>
          <w:rtl/>
          <w:lang w:eastAsia="he-IL"/>
        </w:rPr>
      </w:pPr>
      <w:r w:rsidRPr="00C06FE7">
        <w:rPr>
          <w:rFonts w:ascii="Times New Roman" w:eastAsia="Times New Roman" w:hAnsi="Times New Roman" w:cs="FrankRuehl"/>
          <w:spacing w:val="10"/>
          <w:szCs w:val="28"/>
          <w:lang w:eastAsia="he-IL"/>
        </w:rPr>
        <w:tab/>
      </w:r>
    </w:p>
    <w:tbl>
      <w:tblPr>
        <w:bidiVisual/>
        <w:tblW w:w="0" w:type="auto"/>
        <w:jc w:val="right"/>
        <w:tblLook w:val="0000" w:firstRow="0" w:lastRow="0" w:firstColumn="0" w:lastColumn="0" w:noHBand="0" w:noVBand="0"/>
      </w:tblPr>
      <w:tblGrid>
        <w:gridCol w:w="3284"/>
        <w:gridCol w:w="5238"/>
      </w:tblGrid>
      <w:tr w:rsidR="00C06FE7" w:rsidRPr="00C06FE7" w:rsidTr="00C86829">
        <w:trPr>
          <w:jc w:val="right"/>
        </w:trPr>
        <w:tc>
          <w:tcPr>
            <w:tcW w:w="3284"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szCs w:val="28"/>
                <w:lang w:eastAsia="he-IL"/>
              </w:rPr>
              <w:t> </w:t>
            </w:r>
          </w:p>
        </w:tc>
        <w:tc>
          <w:tcPr>
            <w:tcW w:w="5238"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נ</w:t>
            </w:r>
            <w:r w:rsidRPr="00C06FE7">
              <w:rPr>
                <w:rFonts w:ascii="Times New Roman" w:eastAsia="Times New Roman" w:hAnsi="Times New Roman" w:cs="David"/>
                <w:szCs w:val="28"/>
                <w:lang w:eastAsia="he-IL"/>
              </w:rPr>
              <w:t xml:space="preserve">  </w:t>
            </w:r>
            <w:r w:rsidRPr="00C06FE7">
              <w:rPr>
                <w:rFonts w:ascii="Times New Roman" w:eastAsia="Times New Roman" w:hAnsi="Times New Roman" w:cs="David" w:hint="eastAsia"/>
                <w:szCs w:val="28"/>
                <w:rtl/>
                <w:lang w:eastAsia="he-IL"/>
              </w:rPr>
              <w:t>ג</w:t>
            </w:r>
            <w:r w:rsidRPr="00C06FE7">
              <w:rPr>
                <w:rFonts w:ascii="Times New Roman" w:eastAsia="Times New Roman" w:hAnsi="Times New Roman" w:cs="David"/>
                <w:szCs w:val="28"/>
                <w:lang w:eastAsia="he-IL"/>
              </w:rPr>
              <w:t xml:space="preserve">  </w:t>
            </w:r>
            <w:r w:rsidRPr="00C06FE7">
              <w:rPr>
                <w:rFonts w:ascii="Times New Roman" w:eastAsia="Times New Roman" w:hAnsi="Times New Roman" w:cs="David" w:hint="eastAsia"/>
                <w:szCs w:val="28"/>
                <w:rtl/>
                <w:lang w:eastAsia="he-IL"/>
              </w:rPr>
              <w:t>ד</w:t>
            </w:r>
          </w:p>
        </w:tc>
      </w:tr>
    </w:tbl>
    <w:p w:rsidR="00C06FE7" w:rsidRPr="00C06FE7" w:rsidRDefault="00C06FE7" w:rsidP="00C06FE7">
      <w:pPr>
        <w:tabs>
          <w:tab w:val="left" w:pos="3210"/>
          <w:tab w:val="left" w:pos="6753"/>
        </w:tabs>
        <w:overflowPunct w:val="0"/>
        <w:autoSpaceDE w:val="0"/>
        <w:autoSpaceDN w:val="0"/>
        <w:adjustRightInd w:val="0"/>
        <w:spacing w:after="0" w:line="360" w:lineRule="auto"/>
        <w:rPr>
          <w:rFonts w:ascii="Times New Roman" w:eastAsia="Times New Roman" w:hAnsi="Times New Roman" w:cs="FrankRuehl"/>
          <w:spacing w:val="10"/>
          <w:szCs w:val="28"/>
          <w:rtl/>
          <w:lang w:eastAsia="he-IL"/>
        </w:rPr>
      </w:pPr>
      <w:r w:rsidRPr="00C06FE7">
        <w:rPr>
          <w:rFonts w:ascii="Times New Roman" w:eastAsia="Times New Roman" w:hAnsi="Times New Roman" w:cs="FrankRuehl"/>
          <w:spacing w:val="10"/>
          <w:szCs w:val="28"/>
          <w:lang w:eastAsia="he-IL"/>
        </w:rPr>
        <w:tab/>
      </w:r>
      <w:r w:rsidRPr="00C06FE7">
        <w:rPr>
          <w:rFonts w:ascii="Times New Roman" w:eastAsia="Times New Roman" w:hAnsi="Times New Roman" w:cs="FrankRuehl"/>
          <w:spacing w:val="10"/>
          <w:szCs w:val="28"/>
          <w:lang w:eastAsia="he-IL"/>
        </w:rPr>
        <w:tab/>
      </w:r>
      <w:r w:rsidRPr="00C06FE7">
        <w:rPr>
          <w:rFonts w:ascii="Times New Roman" w:eastAsia="Times New Roman" w:hAnsi="Times New Roman" w:cs="FrankRuehl"/>
          <w:spacing w:val="10"/>
          <w:szCs w:val="28"/>
          <w:lang w:eastAsia="he-IL"/>
        </w:rPr>
        <w:tab/>
        <w:t xml:space="preserve">     </w:t>
      </w:r>
    </w:p>
    <w:tbl>
      <w:tblPr>
        <w:bidiVisual/>
        <w:tblW w:w="0" w:type="auto"/>
        <w:jc w:val="right"/>
        <w:tblLook w:val="0000" w:firstRow="0" w:lastRow="0" w:firstColumn="0" w:lastColumn="0" w:noHBand="0" w:noVBand="0"/>
      </w:tblPr>
      <w:tblGrid>
        <w:gridCol w:w="3284"/>
        <w:gridCol w:w="5238"/>
      </w:tblGrid>
      <w:tr w:rsidR="00C06FE7" w:rsidRPr="00C06FE7" w:rsidTr="00C86829">
        <w:trPr>
          <w:jc w:val="right"/>
        </w:trPr>
        <w:tc>
          <w:tcPr>
            <w:tcW w:w="3284"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המשיבים</w:t>
            </w:r>
            <w:r w:rsidRPr="00C06FE7">
              <w:rPr>
                <w:rFonts w:ascii="Times New Roman" w:eastAsia="Times New Roman" w:hAnsi="Times New Roman" w:cs="David"/>
                <w:szCs w:val="28"/>
                <w:rtl/>
                <w:lang w:eastAsia="he-IL"/>
              </w:rPr>
              <w:t>:</w:t>
            </w:r>
          </w:p>
        </w:tc>
        <w:tc>
          <w:tcPr>
            <w:tcW w:w="5238"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szCs w:val="28"/>
                <w:rtl/>
                <w:lang w:eastAsia="he-IL"/>
              </w:rPr>
              <w:t xml:space="preserve">1. הבנק </w:t>
            </w:r>
            <w:r w:rsidRPr="00C06FE7">
              <w:rPr>
                <w:rFonts w:ascii="Times New Roman" w:eastAsia="Times New Roman" w:hAnsi="Times New Roman" w:cs="David" w:hint="eastAsia"/>
                <w:szCs w:val="28"/>
                <w:rtl/>
                <w:lang w:eastAsia="he-IL"/>
              </w:rPr>
              <w:t>למסחר</w:t>
            </w:r>
            <w:r w:rsidRPr="00C06FE7">
              <w:rPr>
                <w:rFonts w:ascii="Times New Roman" w:eastAsia="Times New Roman" w:hAnsi="Times New Roman" w:cs="David"/>
                <w:szCs w:val="28"/>
                <w:rtl/>
                <w:lang w:eastAsia="he-IL"/>
              </w:rPr>
              <w:t xml:space="preserve"> בע"מ בפירוק</w:t>
            </w:r>
          </w:p>
        </w:tc>
      </w:tr>
      <w:tr w:rsidR="00C06FE7" w:rsidRPr="00C06FE7" w:rsidTr="00C86829">
        <w:trPr>
          <w:jc w:val="right"/>
        </w:trPr>
        <w:tc>
          <w:tcPr>
            <w:tcW w:w="3284"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 </w:t>
            </w:r>
          </w:p>
        </w:tc>
        <w:tc>
          <w:tcPr>
            <w:tcW w:w="5238"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szCs w:val="28"/>
                <w:rtl/>
                <w:lang w:eastAsia="he-IL"/>
              </w:rPr>
              <w:t xml:space="preserve">2. </w:t>
            </w:r>
            <w:r w:rsidRPr="00C06FE7">
              <w:rPr>
                <w:rFonts w:ascii="Times New Roman" w:eastAsia="Times New Roman" w:hAnsi="Times New Roman" w:cs="David" w:hint="eastAsia"/>
                <w:szCs w:val="28"/>
                <w:rtl/>
                <w:lang w:eastAsia="he-IL"/>
              </w:rPr>
              <w:t>המנהלים</w:t>
            </w:r>
            <w:r w:rsidRPr="00C06FE7">
              <w:rPr>
                <w:rFonts w:ascii="Times New Roman" w:eastAsia="Times New Roman" w:hAnsi="Times New Roman" w:cs="David"/>
                <w:szCs w:val="28"/>
                <w:rtl/>
                <w:lang w:eastAsia="he-IL"/>
              </w:rPr>
              <w:t xml:space="preserve"> המיוחדים עו"ד ברגמן, רו"ח </w:t>
            </w:r>
            <w:proofErr w:type="spellStart"/>
            <w:r w:rsidRPr="00C06FE7">
              <w:rPr>
                <w:rFonts w:ascii="Times New Roman" w:eastAsia="Times New Roman" w:hAnsi="Times New Roman" w:cs="David"/>
                <w:szCs w:val="28"/>
                <w:rtl/>
                <w:lang w:eastAsia="he-IL"/>
              </w:rPr>
              <w:t>ברלב</w:t>
            </w:r>
            <w:proofErr w:type="spellEnd"/>
          </w:p>
        </w:tc>
      </w:tr>
      <w:tr w:rsidR="00C06FE7" w:rsidRPr="00C06FE7" w:rsidTr="00C86829">
        <w:trPr>
          <w:jc w:val="right"/>
        </w:trPr>
        <w:tc>
          <w:tcPr>
            <w:tcW w:w="3284"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 </w:t>
            </w:r>
          </w:p>
        </w:tc>
        <w:tc>
          <w:tcPr>
            <w:tcW w:w="5238"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szCs w:val="28"/>
                <w:rtl/>
                <w:lang w:eastAsia="he-IL"/>
              </w:rPr>
              <w:t xml:space="preserve">3. כונס </w:t>
            </w:r>
            <w:r w:rsidRPr="00C06FE7">
              <w:rPr>
                <w:rFonts w:ascii="Times New Roman" w:eastAsia="Times New Roman" w:hAnsi="Times New Roman" w:cs="David" w:hint="eastAsia"/>
                <w:szCs w:val="28"/>
                <w:rtl/>
                <w:lang w:eastAsia="he-IL"/>
              </w:rPr>
              <w:t>הנכסים</w:t>
            </w:r>
            <w:r w:rsidRPr="00C06FE7">
              <w:rPr>
                <w:rFonts w:ascii="Times New Roman" w:eastAsia="Times New Roman" w:hAnsi="Times New Roman" w:cs="David"/>
                <w:szCs w:val="28"/>
                <w:rtl/>
                <w:lang w:eastAsia="he-IL"/>
              </w:rPr>
              <w:t xml:space="preserve"> הרשמי</w:t>
            </w:r>
          </w:p>
        </w:tc>
      </w:tr>
    </w:tbl>
    <w:p w:rsidR="00C06FE7" w:rsidRPr="00C06FE7" w:rsidRDefault="00C06FE7" w:rsidP="00C06FE7">
      <w:pPr>
        <w:tabs>
          <w:tab w:val="left" w:pos="3210"/>
          <w:tab w:val="left" w:pos="6753"/>
        </w:tabs>
        <w:overflowPunct w:val="0"/>
        <w:autoSpaceDE w:val="0"/>
        <w:autoSpaceDN w:val="0"/>
        <w:adjustRightInd w:val="0"/>
        <w:spacing w:after="0" w:line="360" w:lineRule="auto"/>
        <w:rPr>
          <w:rFonts w:ascii="Times New Roman" w:eastAsia="Times New Roman" w:hAnsi="Times New Roman" w:cs="FrankRuehl"/>
          <w:spacing w:val="10"/>
          <w:szCs w:val="28"/>
          <w:rtl/>
          <w:lang w:eastAsia="he-IL"/>
        </w:rPr>
      </w:pPr>
      <w:r w:rsidRPr="00C06FE7">
        <w:rPr>
          <w:rFonts w:ascii="Times New Roman" w:eastAsia="Times New Roman" w:hAnsi="Times New Roman" w:cs="FrankRuehl"/>
          <w:spacing w:val="10"/>
          <w:szCs w:val="28"/>
          <w:rtl/>
          <w:lang w:eastAsia="he-IL"/>
        </w:rPr>
        <w:tab/>
      </w:r>
    </w:p>
    <w:tbl>
      <w:tblPr>
        <w:bidiVisual/>
        <w:tblW w:w="0" w:type="auto"/>
        <w:jc w:val="right"/>
        <w:tblInd w:w="14" w:type="dxa"/>
        <w:tblLook w:val="0000" w:firstRow="0" w:lastRow="0" w:firstColumn="0" w:lastColumn="0" w:noHBand="0" w:noVBand="0"/>
      </w:tblPr>
      <w:tblGrid>
        <w:gridCol w:w="8508"/>
      </w:tblGrid>
      <w:tr w:rsidR="00C06FE7" w:rsidRPr="00C06FE7" w:rsidTr="00C86829">
        <w:trPr>
          <w:jc w:val="right"/>
        </w:trPr>
        <w:tc>
          <w:tcPr>
            <w:tcW w:w="8508" w:type="dxa"/>
          </w:tcPr>
          <w:p w:rsidR="00C06FE7" w:rsidRPr="00C06FE7" w:rsidRDefault="00C06FE7" w:rsidP="00C06FE7">
            <w:pPr>
              <w:overflowPunct w:val="0"/>
              <w:autoSpaceDE w:val="0"/>
              <w:autoSpaceDN w:val="0"/>
              <w:adjustRightInd w:val="0"/>
              <w:spacing w:after="0" w:line="240" w:lineRule="auto"/>
              <w:jc w:val="both"/>
              <w:rPr>
                <w:rFonts w:ascii="Times New Roman" w:eastAsia="Times New Roman" w:hAnsi="Times New Roman" w:cs="David"/>
                <w:sz w:val="24"/>
                <w:szCs w:val="24"/>
                <w:lang w:eastAsia="he-IL"/>
              </w:rPr>
            </w:pPr>
            <w:r w:rsidRPr="00C06FE7">
              <w:rPr>
                <w:rFonts w:ascii="Times New Roman" w:eastAsia="Times New Roman" w:hAnsi="Times New Roman" w:cs="David" w:hint="eastAsia"/>
                <w:sz w:val="24"/>
                <w:szCs w:val="24"/>
                <w:rtl/>
                <w:lang w:eastAsia="he-IL"/>
              </w:rPr>
              <w:t>ערעור</w:t>
            </w:r>
            <w:r w:rsidRPr="00C06FE7">
              <w:rPr>
                <w:rFonts w:ascii="Times New Roman" w:eastAsia="Times New Roman" w:hAnsi="Times New Roman" w:cs="David"/>
                <w:sz w:val="24"/>
                <w:szCs w:val="24"/>
                <w:rtl/>
                <w:lang w:eastAsia="he-IL"/>
              </w:rPr>
              <w:t xml:space="preserve"> על החלטת בית המשפט המחוזי </w:t>
            </w:r>
            <w:r w:rsidRPr="00C06FE7">
              <w:rPr>
                <w:rFonts w:ascii="Times New Roman" w:eastAsia="Times New Roman" w:hAnsi="Times New Roman" w:cs="David" w:hint="eastAsia"/>
                <w:sz w:val="24"/>
                <w:szCs w:val="24"/>
                <w:rtl/>
                <w:lang w:eastAsia="he-IL"/>
              </w:rPr>
              <w:t>בתל</w:t>
            </w:r>
            <w:r w:rsidRPr="00C06FE7">
              <w:rPr>
                <w:rFonts w:ascii="Times New Roman" w:eastAsia="Times New Roman" w:hAnsi="Times New Roman" w:cs="David"/>
                <w:sz w:val="24"/>
                <w:szCs w:val="24"/>
                <w:rtl/>
                <w:lang w:eastAsia="he-IL"/>
              </w:rPr>
              <w:t xml:space="preserve">-אביב-יפו בתיק </w:t>
            </w:r>
            <w:hyperlink r:id="rId5" w:history="1">
              <w:proofErr w:type="spellStart"/>
              <w:r w:rsidRPr="00C06FE7">
                <w:rPr>
                  <w:rFonts w:ascii="Times New Roman" w:eastAsia="Times New Roman" w:hAnsi="Times New Roman" w:cs="David"/>
                  <w:color w:val="0000FF"/>
                  <w:sz w:val="24"/>
                  <w:szCs w:val="24"/>
                  <w:u w:val="single"/>
                  <w:rtl/>
                  <w:lang w:eastAsia="he-IL"/>
                </w:rPr>
                <w:t>פש"ר</w:t>
              </w:r>
              <w:proofErr w:type="spellEnd"/>
              <w:r w:rsidRPr="00C06FE7">
                <w:rPr>
                  <w:rFonts w:ascii="Times New Roman" w:eastAsia="Times New Roman" w:hAnsi="Times New Roman" w:cs="David"/>
                  <w:color w:val="0000FF"/>
                  <w:sz w:val="24"/>
                  <w:szCs w:val="24"/>
                  <w:u w:val="single"/>
                  <w:rtl/>
                  <w:lang w:eastAsia="he-IL"/>
                </w:rPr>
                <w:t xml:space="preserve"> 1398/02 בש"א 22169/02</w:t>
              </w:r>
            </w:hyperlink>
            <w:r w:rsidRPr="00C06FE7">
              <w:rPr>
                <w:rFonts w:ascii="Times New Roman" w:eastAsia="Times New Roman" w:hAnsi="Times New Roman" w:cs="David"/>
                <w:sz w:val="24"/>
                <w:szCs w:val="24"/>
                <w:rtl/>
                <w:lang w:eastAsia="he-IL"/>
              </w:rPr>
              <w:t xml:space="preserve"> שניתנה ביום 17.6.03 על-ידי כבוד </w:t>
            </w:r>
            <w:r w:rsidRPr="00C06FE7">
              <w:rPr>
                <w:rFonts w:ascii="Times New Roman" w:eastAsia="Times New Roman" w:hAnsi="Times New Roman" w:cs="David" w:hint="eastAsia"/>
                <w:sz w:val="24"/>
                <w:szCs w:val="24"/>
                <w:rtl/>
                <w:lang w:eastAsia="he-IL"/>
              </w:rPr>
              <w:t>השופטת</w:t>
            </w:r>
            <w:r w:rsidRPr="00C06FE7">
              <w:rPr>
                <w:rFonts w:ascii="Times New Roman" w:eastAsia="Times New Roman" w:hAnsi="Times New Roman" w:cs="David"/>
                <w:sz w:val="24"/>
                <w:szCs w:val="24"/>
                <w:rtl/>
                <w:lang w:eastAsia="he-IL"/>
              </w:rPr>
              <w:t xml:space="preserve"> ו' אלשיך</w:t>
            </w:r>
          </w:p>
        </w:tc>
      </w:tr>
    </w:tbl>
    <w:p w:rsidR="00C06FE7" w:rsidRPr="00C06FE7" w:rsidRDefault="00C06FE7" w:rsidP="00C06FE7">
      <w:pPr>
        <w:tabs>
          <w:tab w:val="left" w:pos="3210"/>
          <w:tab w:val="left" w:pos="6753"/>
        </w:tabs>
        <w:overflowPunct w:val="0"/>
        <w:autoSpaceDE w:val="0"/>
        <w:autoSpaceDN w:val="0"/>
        <w:adjustRightInd w:val="0"/>
        <w:spacing w:after="0" w:line="360" w:lineRule="auto"/>
        <w:rPr>
          <w:rFonts w:ascii="Times New Roman" w:eastAsia="Times New Roman" w:hAnsi="Times New Roman" w:cs="FrankRuehl" w:hint="cs"/>
          <w:spacing w:val="10"/>
          <w:szCs w:val="28"/>
          <w:rtl/>
          <w:lang w:eastAsia="he-IL"/>
        </w:rPr>
      </w:pPr>
      <w:r w:rsidRPr="00C06FE7">
        <w:rPr>
          <w:rFonts w:ascii="Times New Roman" w:eastAsia="Times New Roman" w:hAnsi="Times New Roman" w:cs="FrankRuehl"/>
          <w:spacing w:val="10"/>
          <w:szCs w:val="28"/>
          <w:rtl/>
          <w:lang w:eastAsia="he-IL"/>
        </w:rPr>
        <w:tab/>
      </w:r>
    </w:p>
    <w:tbl>
      <w:tblPr>
        <w:bidiVisual/>
        <w:tblW w:w="0" w:type="auto"/>
        <w:jc w:val="right"/>
        <w:tblLook w:val="0000" w:firstRow="0" w:lastRow="0" w:firstColumn="0" w:lastColumn="0" w:noHBand="0" w:noVBand="0"/>
      </w:tblPr>
      <w:tblGrid>
        <w:gridCol w:w="3284"/>
        <w:gridCol w:w="5238"/>
      </w:tblGrid>
      <w:tr w:rsidR="00C06FE7" w:rsidRPr="00C06FE7" w:rsidTr="00C86829">
        <w:trPr>
          <w:jc w:val="right"/>
        </w:trPr>
        <w:tc>
          <w:tcPr>
            <w:tcW w:w="3284"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בשם</w:t>
            </w:r>
            <w:r w:rsidRPr="00C06FE7">
              <w:rPr>
                <w:rFonts w:ascii="Times New Roman" w:eastAsia="Times New Roman" w:hAnsi="Times New Roman" w:cs="David"/>
                <w:szCs w:val="28"/>
                <w:rtl/>
                <w:lang w:eastAsia="he-IL"/>
              </w:rPr>
              <w:t xml:space="preserve"> </w:t>
            </w:r>
            <w:r w:rsidRPr="00C06FE7">
              <w:rPr>
                <w:rFonts w:ascii="Times New Roman" w:eastAsia="Times New Roman" w:hAnsi="Times New Roman" w:cs="David" w:hint="eastAsia"/>
                <w:szCs w:val="28"/>
                <w:rtl/>
                <w:lang w:eastAsia="he-IL"/>
              </w:rPr>
              <w:t>המערערת</w:t>
            </w:r>
            <w:r w:rsidRPr="00C06FE7">
              <w:rPr>
                <w:rFonts w:ascii="Times New Roman" w:eastAsia="Times New Roman" w:hAnsi="Times New Roman" w:cs="David"/>
                <w:szCs w:val="28"/>
                <w:rtl/>
                <w:lang w:eastAsia="he-IL"/>
              </w:rPr>
              <w:t>:</w:t>
            </w:r>
          </w:p>
        </w:tc>
        <w:tc>
          <w:tcPr>
            <w:tcW w:w="5238"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rtl/>
                <w:lang w:eastAsia="he-IL"/>
              </w:rPr>
            </w:pPr>
            <w:r w:rsidRPr="00C06FE7">
              <w:rPr>
                <w:rFonts w:ascii="Times New Roman" w:eastAsia="Times New Roman" w:hAnsi="Times New Roman" w:cs="David" w:hint="eastAsia"/>
                <w:szCs w:val="28"/>
                <w:rtl/>
                <w:lang w:eastAsia="he-IL"/>
              </w:rPr>
              <w:t>עו</w:t>
            </w:r>
            <w:r w:rsidRPr="00C06FE7">
              <w:rPr>
                <w:rFonts w:ascii="Times New Roman" w:eastAsia="Times New Roman" w:hAnsi="Times New Roman" w:cs="David"/>
                <w:szCs w:val="28"/>
                <w:rtl/>
                <w:lang w:eastAsia="he-IL"/>
              </w:rPr>
              <w:t xml:space="preserve">"ד ש' </w:t>
            </w:r>
            <w:r w:rsidRPr="00C06FE7">
              <w:rPr>
                <w:rFonts w:ascii="Times New Roman" w:eastAsia="Times New Roman" w:hAnsi="Times New Roman" w:cs="David" w:hint="eastAsia"/>
                <w:szCs w:val="28"/>
                <w:rtl/>
                <w:lang w:eastAsia="he-IL"/>
              </w:rPr>
              <w:t>קוטלר</w:t>
            </w:r>
          </w:p>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 </w:t>
            </w:r>
          </w:p>
        </w:tc>
      </w:tr>
      <w:tr w:rsidR="00C06FE7" w:rsidRPr="00C06FE7" w:rsidTr="00C86829">
        <w:trPr>
          <w:jc w:val="right"/>
        </w:trPr>
        <w:tc>
          <w:tcPr>
            <w:tcW w:w="3284"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bookmarkStart w:id="2" w:name="FirstLawyer"/>
            <w:r w:rsidRPr="00C06FE7">
              <w:rPr>
                <w:rFonts w:ascii="Times New Roman" w:eastAsia="Times New Roman" w:hAnsi="Times New Roman" w:cs="David" w:hint="eastAsia"/>
                <w:szCs w:val="28"/>
                <w:rtl/>
                <w:lang w:eastAsia="he-IL"/>
              </w:rPr>
              <w:t>בשם</w:t>
            </w:r>
            <w:r w:rsidRPr="00C06FE7">
              <w:rPr>
                <w:rFonts w:ascii="Times New Roman" w:eastAsia="Times New Roman" w:hAnsi="Times New Roman" w:cs="David"/>
                <w:szCs w:val="28"/>
                <w:rtl/>
                <w:lang w:eastAsia="he-IL"/>
              </w:rPr>
              <w:t xml:space="preserve"> </w:t>
            </w:r>
            <w:r w:rsidRPr="00C06FE7">
              <w:rPr>
                <w:rFonts w:ascii="Times New Roman" w:eastAsia="Times New Roman" w:hAnsi="Times New Roman" w:cs="David" w:hint="eastAsia"/>
                <w:szCs w:val="28"/>
                <w:rtl/>
                <w:lang w:eastAsia="he-IL"/>
              </w:rPr>
              <w:t>המשיבים</w:t>
            </w:r>
            <w:r w:rsidRPr="00C06FE7">
              <w:rPr>
                <w:rFonts w:ascii="Times New Roman" w:eastAsia="Times New Roman" w:hAnsi="Times New Roman" w:cs="David"/>
                <w:szCs w:val="28"/>
                <w:rtl/>
                <w:lang w:eastAsia="he-IL"/>
              </w:rPr>
              <w:t xml:space="preserve"> 1-2:</w:t>
            </w:r>
          </w:p>
        </w:tc>
        <w:tc>
          <w:tcPr>
            <w:tcW w:w="5238"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rtl/>
                <w:lang w:eastAsia="he-IL"/>
              </w:rPr>
            </w:pPr>
            <w:r w:rsidRPr="00C06FE7">
              <w:rPr>
                <w:rFonts w:ascii="Times New Roman" w:eastAsia="Times New Roman" w:hAnsi="Times New Roman" w:cs="David" w:hint="eastAsia"/>
                <w:szCs w:val="28"/>
                <w:rtl/>
                <w:lang w:eastAsia="he-IL"/>
              </w:rPr>
              <w:t>עו</w:t>
            </w:r>
            <w:r w:rsidRPr="00C06FE7">
              <w:rPr>
                <w:rFonts w:ascii="Times New Roman" w:eastAsia="Times New Roman" w:hAnsi="Times New Roman" w:cs="David"/>
                <w:szCs w:val="28"/>
                <w:rtl/>
                <w:lang w:eastAsia="he-IL"/>
              </w:rPr>
              <w:t xml:space="preserve">"ד ע' </w:t>
            </w:r>
            <w:r w:rsidRPr="00C06FE7">
              <w:rPr>
                <w:rFonts w:ascii="Times New Roman" w:eastAsia="Times New Roman" w:hAnsi="Times New Roman" w:cs="David" w:hint="eastAsia"/>
                <w:szCs w:val="28"/>
                <w:rtl/>
                <w:lang w:eastAsia="he-IL"/>
              </w:rPr>
              <w:t>פינס</w:t>
            </w:r>
          </w:p>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 </w:t>
            </w:r>
          </w:p>
        </w:tc>
      </w:tr>
      <w:bookmarkEnd w:id="2"/>
      <w:tr w:rsidR="00C06FE7" w:rsidRPr="00C06FE7" w:rsidTr="00C86829">
        <w:trPr>
          <w:jc w:val="right"/>
        </w:trPr>
        <w:tc>
          <w:tcPr>
            <w:tcW w:w="3284"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בשם</w:t>
            </w:r>
            <w:r w:rsidRPr="00C06FE7">
              <w:rPr>
                <w:rFonts w:ascii="Times New Roman" w:eastAsia="Times New Roman" w:hAnsi="Times New Roman" w:cs="David"/>
                <w:szCs w:val="28"/>
                <w:rtl/>
                <w:lang w:eastAsia="he-IL"/>
              </w:rPr>
              <w:t xml:space="preserve"> </w:t>
            </w:r>
            <w:r w:rsidRPr="00C06FE7">
              <w:rPr>
                <w:rFonts w:ascii="Times New Roman" w:eastAsia="Times New Roman" w:hAnsi="Times New Roman" w:cs="David" w:hint="eastAsia"/>
                <w:szCs w:val="28"/>
                <w:rtl/>
                <w:lang w:eastAsia="he-IL"/>
              </w:rPr>
              <w:t>המשיב</w:t>
            </w:r>
            <w:r w:rsidRPr="00C06FE7">
              <w:rPr>
                <w:rFonts w:ascii="Times New Roman" w:eastAsia="Times New Roman" w:hAnsi="Times New Roman" w:cs="David"/>
                <w:szCs w:val="28"/>
                <w:rtl/>
                <w:lang w:eastAsia="he-IL"/>
              </w:rPr>
              <w:t xml:space="preserve"> 3:</w:t>
            </w:r>
          </w:p>
        </w:tc>
        <w:tc>
          <w:tcPr>
            <w:tcW w:w="5238" w:type="dxa"/>
          </w:tcPr>
          <w:p w:rsidR="00C06FE7" w:rsidRPr="00C06FE7" w:rsidRDefault="00C06FE7" w:rsidP="00C06FE7">
            <w:pPr>
              <w:overflowPunct w:val="0"/>
              <w:autoSpaceDE w:val="0"/>
              <w:autoSpaceDN w:val="0"/>
              <w:adjustRightInd w:val="0"/>
              <w:spacing w:after="0" w:line="240" w:lineRule="auto"/>
              <w:rPr>
                <w:rFonts w:ascii="Times New Roman" w:eastAsia="Times New Roman" w:hAnsi="Times New Roman" w:cs="David"/>
                <w:szCs w:val="28"/>
                <w:lang w:eastAsia="he-IL"/>
              </w:rPr>
            </w:pPr>
            <w:r w:rsidRPr="00C06FE7">
              <w:rPr>
                <w:rFonts w:ascii="Times New Roman" w:eastAsia="Times New Roman" w:hAnsi="Times New Roman" w:cs="David" w:hint="eastAsia"/>
                <w:szCs w:val="28"/>
                <w:rtl/>
                <w:lang w:eastAsia="he-IL"/>
              </w:rPr>
              <w:t>עו</w:t>
            </w:r>
            <w:r w:rsidRPr="00C06FE7">
              <w:rPr>
                <w:rFonts w:ascii="Times New Roman" w:eastAsia="Times New Roman" w:hAnsi="Times New Roman" w:cs="David"/>
                <w:szCs w:val="28"/>
                <w:rtl/>
                <w:lang w:eastAsia="he-IL"/>
              </w:rPr>
              <w:t xml:space="preserve">"ד ט' </w:t>
            </w:r>
            <w:r w:rsidRPr="00C06FE7">
              <w:rPr>
                <w:rFonts w:ascii="Times New Roman" w:eastAsia="Times New Roman" w:hAnsi="Times New Roman" w:cs="David" w:hint="eastAsia"/>
                <w:szCs w:val="28"/>
                <w:rtl/>
                <w:lang w:eastAsia="he-IL"/>
              </w:rPr>
              <w:t>פריש</w:t>
            </w:r>
          </w:p>
        </w:tc>
      </w:tr>
    </w:tbl>
    <w:p w:rsidR="00C06FE7" w:rsidRPr="00C06FE7" w:rsidRDefault="00C06FE7" w:rsidP="00C06FE7">
      <w:pPr>
        <w:tabs>
          <w:tab w:val="left" w:pos="2552"/>
        </w:tabs>
        <w:overflowPunct w:val="0"/>
        <w:autoSpaceDE w:val="0"/>
        <w:autoSpaceDN w:val="0"/>
        <w:adjustRightInd w:val="0"/>
        <w:spacing w:after="0" w:line="480" w:lineRule="auto"/>
        <w:rPr>
          <w:rFonts w:ascii="Times New Roman" w:eastAsia="Times New Roman" w:hAnsi="Times New Roman" w:cs="Times New Roman" w:hint="cs"/>
          <w:sz w:val="24"/>
          <w:szCs w:val="24"/>
          <w:rtl/>
          <w:lang w:eastAsia="he-IL"/>
        </w:rPr>
      </w:pPr>
    </w:p>
    <w:p w:rsidR="00C06FE7" w:rsidRPr="00C06FE7" w:rsidRDefault="00C06FE7" w:rsidP="00C06FE7">
      <w:pPr>
        <w:pBdr>
          <w:top w:val="single" w:sz="4" w:space="1" w:color="auto"/>
          <w:left w:val="single" w:sz="4" w:space="4" w:color="auto"/>
          <w:bottom w:val="single" w:sz="4" w:space="1" w:color="auto"/>
          <w:right w:val="single" w:sz="4" w:space="4" w:color="auto"/>
        </w:pBdr>
        <w:tabs>
          <w:tab w:val="left" w:pos="3210"/>
          <w:tab w:val="left" w:pos="6753"/>
        </w:tabs>
        <w:overflowPunct w:val="0"/>
        <w:autoSpaceDE w:val="0"/>
        <w:autoSpaceDN w:val="0"/>
        <w:adjustRightInd w:val="0"/>
        <w:spacing w:after="0" w:line="360" w:lineRule="auto"/>
        <w:rPr>
          <w:rFonts w:ascii="Times New Roman" w:eastAsia="Times New Roman" w:hAnsi="Times New Roman" w:cs="FrankRuehl" w:hint="cs"/>
          <w:sz w:val="28"/>
          <w:szCs w:val="26"/>
          <w:rtl/>
          <w:lang w:eastAsia="he-IL"/>
        </w:rPr>
      </w:pPr>
      <w:r w:rsidRPr="00C06FE7">
        <w:rPr>
          <w:rFonts w:ascii="Times New Roman" w:eastAsia="Times New Roman" w:hAnsi="Times New Roman" w:cs="FrankRuehl" w:hint="cs"/>
          <w:sz w:val="28"/>
          <w:szCs w:val="26"/>
          <w:rtl/>
          <w:lang w:eastAsia="he-IL"/>
        </w:rPr>
        <w:t xml:space="preserve">להחלטה במחוזי (17.6.03): </w:t>
      </w:r>
      <w:hyperlink r:id="rId6" w:history="1">
        <w:r w:rsidRPr="00C06FE7">
          <w:rPr>
            <w:rFonts w:ascii="Times New Roman" w:eastAsia="Times New Roman" w:hAnsi="Times New Roman" w:cs="FrankRuehl"/>
            <w:color w:val="0000FF"/>
            <w:sz w:val="28"/>
            <w:szCs w:val="26"/>
            <w:u w:val="single"/>
            <w:rtl/>
            <w:lang w:eastAsia="he-IL"/>
          </w:rPr>
          <w:t>פשר (ת"א) 1398/02</w:t>
        </w:r>
        <w:r w:rsidRPr="00C06FE7">
          <w:rPr>
            <w:rFonts w:ascii="Times New Roman" w:eastAsia="Times New Roman" w:hAnsi="Times New Roman" w:cs="FrankRuehl" w:hint="cs"/>
            <w:color w:val="0000FF"/>
            <w:sz w:val="28"/>
            <w:szCs w:val="26"/>
            <w:u w:val="single"/>
            <w:rtl/>
            <w:lang w:eastAsia="he-IL"/>
          </w:rPr>
          <w:t xml:space="preserve"> </w:t>
        </w:r>
        <w:r w:rsidRPr="00C06FE7">
          <w:rPr>
            <w:rFonts w:ascii="Times New Roman" w:eastAsia="Times New Roman" w:hAnsi="Times New Roman" w:cs="FrankRuehl"/>
            <w:color w:val="0000FF"/>
            <w:sz w:val="28"/>
            <w:szCs w:val="26"/>
            <w:u w:val="single"/>
            <w:rtl/>
            <w:lang w:eastAsia="he-IL"/>
          </w:rPr>
          <w:t xml:space="preserve">אמדאוס </w:t>
        </w:r>
        <w:proofErr w:type="spellStart"/>
        <w:r w:rsidRPr="00C06FE7">
          <w:rPr>
            <w:rFonts w:ascii="Times New Roman" w:eastAsia="Times New Roman" w:hAnsi="Times New Roman" w:cs="FrankRuehl"/>
            <w:color w:val="0000FF"/>
            <w:sz w:val="28"/>
            <w:szCs w:val="26"/>
            <w:u w:val="single"/>
            <w:rtl/>
            <w:lang w:eastAsia="he-IL"/>
          </w:rPr>
          <w:t>דוולופמנט</w:t>
        </w:r>
        <w:proofErr w:type="spellEnd"/>
        <w:r w:rsidRPr="00C06FE7">
          <w:rPr>
            <w:rFonts w:ascii="Times New Roman" w:eastAsia="Times New Roman" w:hAnsi="Times New Roman" w:cs="FrankRuehl"/>
            <w:color w:val="0000FF"/>
            <w:sz w:val="28"/>
            <w:szCs w:val="26"/>
            <w:u w:val="single"/>
            <w:rtl/>
            <w:lang w:eastAsia="he-IL"/>
          </w:rPr>
          <w:t xml:space="preserve"> נ' בנק למסחר בע"מ</w:t>
        </w:r>
      </w:hyperlink>
      <w:r w:rsidRPr="00C06FE7">
        <w:rPr>
          <w:rFonts w:ascii="Times New Roman" w:eastAsia="Times New Roman" w:hAnsi="Times New Roman" w:cs="FrankRuehl" w:hint="cs"/>
          <w:sz w:val="28"/>
          <w:szCs w:val="26"/>
          <w:rtl/>
          <w:lang w:eastAsia="he-IL"/>
        </w:rPr>
        <w:t>, אלשיך</w:t>
      </w:r>
    </w:p>
    <w:p w:rsidR="00C06FE7" w:rsidRPr="00C06FE7" w:rsidRDefault="00C06FE7" w:rsidP="00C06FE7">
      <w:pPr>
        <w:tabs>
          <w:tab w:val="left" w:pos="2552"/>
        </w:tabs>
        <w:overflowPunct w:val="0"/>
        <w:autoSpaceDE w:val="0"/>
        <w:autoSpaceDN w:val="0"/>
        <w:adjustRightInd w:val="0"/>
        <w:spacing w:after="0" w:line="480" w:lineRule="auto"/>
        <w:rPr>
          <w:rFonts w:ascii="Times New Roman" w:eastAsia="Times New Roman" w:hAnsi="Times New Roman" w:cs="Times New Roman"/>
          <w:sz w:val="24"/>
          <w:szCs w:val="24"/>
          <w:rtl/>
          <w:lang w:eastAsia="he-IL"/>
        </w:rPr>
      </w:pPr>
    </w:p>
    <w:p w:rsidR="00C06FE7" w:rsidRPr="00C06FE7" w:rsidRDefault="00C06FE7" w:rsidP="00C06FE7">
      <w:pPr>
        <w:pBdr>
          <w:top w:val="single" w:sz="4" w:space="0" w:color="auto"/>
          <w:left w:val="single" w:sz="4" w:space="0" w:color="auto"/>
          <w:bottom w:val="single" w:sz="4" w:space="0" w:color="auto"/>
          <w:right w:val="single" w:sz="4" w:space="0" w:color="auto"/>
        </w:pBdr>
        <w:tabs>
          <w:tab w:val="left" w:pos="2552"/>
        </w:tabs>
        <w:overflowPunct w:val="0"/>
        <w:autoSpaceDE w:val="0"/>
        <w:autoSpaceDN w:val="0"/>
        <w:adjustRightInd w:val="0"/>
        <w:spacing w:after="120" w:line="240" w:lineRule="exact"/>
        <w:ind w:left="283" w:hanging="283"/>
        <w:jc w:val="both"/>
        <w:rPr>
          <w:rFonts w:ascii="FrankRuehl" w:eastAsia="Times New Roman" w:hAnsi="FrankRuehl" w:cs="FrankRuehl"/>
          <w:color w:val="0000FF"/>
          <w:sz w:val="24"/>
          <w:szCs w:val="24"/>
          <w:u w:val="single"/>
          <w:rtl/>
          <w:lang w:eastAsia="he-IL"/>
        </w:rPr>
      </w:pPr>
      <w:r w:rsidRPr="00C06FE7">
        <w:rPr>
          <w:rFonts w:ascii="FrankRuehl" w:eastAsia="Times New Roman" w:hAnsi="FrankRuehl" w:cs="FrankRuehl"/>
          <w:sz w:val="24"/>
          <w:szCs w:val="24"/>
          <w:rtl/>
          <w:lang w:eastAsia="he-IL"/>
        </w:rPr>
        <w:t>כתבי עת:</w:t>
      </w:r>
      <w:r w:rsidRPr="00C06FE7">
        <w:rPr>
          <w:rFonts w:ascii="FrankRuehl" w:eastAsia="Times New Roman" w:hAnsi="FrankRuehl" w:cs="FrankRuehl"/>
          <w:sz w:val="24"/>
          <w:szCs w:val="24"/>
          <w:u w:val="single"/>
          <w:rtl/>
          <w:lang w:eastAsia="he-IL"/>
        </w:rPr>
        <w:fldChar w:fldCharType="begin"/>
      </w:r>
      <w:r w:rsidRPr="00C06FE7">
        <w:rPr>
          <w:rFonts w:ascii="FrankRuehl" w:eastAsia="Times New Roman" w:hAnsi="FrankRuehl" w:cs="FrankRuehl"/>
          <w:sz w:val="24"/>
          <w:szCs w:val="24"/>
          <w:u w:val="single"/>
          <w:rtl/>
          <w:lang w:eastAsia="he-IL"/>
        </w:rPr>
        <w:instrText xml:space="preserve"> </w:instrText>
      </w:r>
      <w:r w:rsidRPr="00C06FE7">
        <w:rPr>
          <w:rFonts w:ascii="FrankRuehl" w:eastAsia="Times New Roman" w:hAnsi="FrankRuehl" w:cs="FrankRuehl"/>
          <w:sz w:val="24"/>
          <w:szCs w:val="24"/>
          <w:u w:val="single"/>
          <w:lang w:eastAsia="he-IL"/>
        </w:rPr>
        <w:instrText>HYPERLINK</w:instrText>
      </w:r>
      <w:r w:rsidRPr="00C06FE7">
        <w:rPr>
          <w:rFonts w:ascii="FrankRuehl" w:eastAsia="Times New Roman" w:hAnsi="FrankRuehl" w:cs="FrankRuehl"/>
          <w:sz w:val="24"/>
          <w:szCs w:val="24"/>
          <w:u w:val="single"/>
          <w:rtl/>
          <w:lang w:eastAsia="he-IL"/>
        </w:rPr>
        <w:instrText xml:space="preserve"> "</w:instrText>
      </w:r>
      <w:r w:rsidRPr="00C06FE7">
        <w:rPr>
          <w:rFonts w:ascii="FrankRuehl" w:eastAsia="Times New Roman" w:hAnsi="FrankRuehl" w:cs="FrankRuehl"/>
          <w:sz w:val="24"/>
          <w:szCs w:val="24"/>
          <w:u w:val="single"/>
          <w:lang w:eastAsia="he-IL"/>
        </w:rPr>
        <w:instrText>http://www.nevo.co.il/links/kitveyet/?Author</w:instrText>
      </w:r>
      <w:r w:rsidRPr="00C06FE7">
        <w:rPr>
          <w:rFonts w:ascii="FrankRuehl" w:eastAsia="Times New Roman" w:hAnsi="FrankRuehl" w:cs="FrankRuehl"/>
          <w:sz w:val="24"/>
          <w:szCs w:val="24"/>
          <w:u w:val="single"/>
          <w:rtl/>
          <w:lang w:eastAsia="he-IL"/>
        </w:rPr>
        <w:instrText>=אבן-להב&amp;</w:instrText>
      </w:r>
      <w:r w:rsidRPr="00C06FE7">
        <w:rPr>
          <w:rFonts w:ascii="FrankRuehl" w:eastAsia="Times New Roman" w:hAnsi="FrankRuehl" w:cs="FrankRuehl"/>
          <w:sz w:val="24"/>
          <w:szCs w:val="24"/>
          <w:u w:val="single"/>
          <w:lang w:eastAsia="he-IL"/>
        </w:rPr>
        <w:instrText>MaamarName</w:instrText>
      </w:r>
      <w:r w:rsidRPr="00C06FE7">
        <w:rPr>
          <w:rFonts w:ascii="FrankRuehl" w:eastAsia="Times New Roman" w:hAnsi="FrankRuehl" w:cs="FrankRuehl"/>
          <w:sz w:val="24"/>
          <w:szCs w:val="24"/>
          <w:u w:val="single"/>
          <w:rtl/>
          <w:lang w:eastAsia="he-IL"/>
        </w:rPr>
        <w:instrText xml:space="preserve">=פירוק חברות: היום הקובע" </w:instrText>
      </w:r>
      <w:r w:rsidRPr="00C06FE7">
        <w:rPr>
          <w:rFonts w:ascii="FrankRuehl" w:eastAsia="Times New Roman" w:hAnsi="FrankRuehl" w:cs="FrankRuehl"/>
          <w:sz w:val="24"/>
          <w:szCs w:val="24"/>
          <w:u w:val="single"/>
          <w:lang w:eastAsia="he-IL"/>
        </w:rPr>
      </w:r>
      <w:r w:rsidRPr="00C06FE7">
        <w:rPr>
          <w:rFonts w:ascii="FrankRuehl" w:eastAsia="Times New Roman" w:hAnsi="FrankRuehl" w:cs="FrankRuehl"/>
          <w:sz w:val="24"/>
          <w:szCs w:val="24"/>
          <w:u w:val="single"/>
          <w:rtl/>
          <w:lang w:eastAsia="he-IL"/>
        </w:rPr>
        <w:fldChar w:fldCharType="separate"/>
      </w:r>
    </w:p>
    <w:p w:rsidR="00C06FE7" w:rsidRPr="00C06FE7" w:rsidRDefault="00C06FE7" w:rsidP="00C06FE7">
      <w:pPr>
        <w:pBdr>
          <w:top w:val="single" w:sz="4" w:space="0" w:color="auto"/>
          <w:left w:val="single" w:sz="4" w:space="0" w:color="auto"/>
          <w:bottom w:val="single" w:sz="4" w:space="0" w:color="auto"/>
          <w:right w:val="single" w:sz="4" w:space="0" w:color="auto"/>
        </w:pBdr>
        <w:tabs>
          <w:tab w:val="left" w:pos="2552"/>
        </w:tabs>
        <w:overflowPunct w:val="0"/>
        <w:autoSpaceDE w:val="0"/>
        <w:autoSpaceDN w:val="0"/>
        <w:adjustRightInd w:val="0"/>
        <w:spacing w:after="120" w:line="240" w:lineRule="exact"/>
        <w:ind w:left="283" w:hanging="283"/>
        <w:jc w:val="both"/>
        <w:rPr>
          <w:rFonts w:ascii="FrankRuehl" w:eastAsia="Times New Roman" w:hAnsi="FrankRuehl" w:cs="FrankRuehl"/>
          <w:sz w:val="24"/>
          <w:szCs w:val="24"/>
          <w:u w:val="single"/>
          <w:rtl/>
          <w:lang w:eastAsia="he-IL"/>
        </w:rPr>
      </w:pPr>
      <w:r w:rsidRPr="00C06FE7">
        <w:rPr>
          <w:rFonts w:ascii="FrankRuehl" w:eastAsia="Times New Roman" w:hAnsi="FrankRuehl" w:cs="FrankRuehl"/>
          <w:color w:val="0000FF"/>
          <w:sz w:val="24"/>
          <w:szCs w:val="24"/>
          <w:u w:val="single"/>
          <w:rtl/>
          <w:lang w:eastAsia="he-IL"/>
        </w:rPr>
        <w:t>דליה אבן-להב, "פירוק חברות: היום הקובע", הפרקליט, כרך מח (תשס"ה-תשס"ו) 5</w:t>
      </w:r>
      <w:r w:rsidRPr="00C06FE7">
        <w:rPr>
          <w:rFonts w:ascii="FrankRuehl" w:eastAsia="Times New Roman" w:hAnsi="FrankRuehl" w:cs="FrankRuehl"/>
          <w:sz w:val="24"/>
          <w:szCs w:val="24"/>
          <w:u w:val="single"/>
          <w:rtl/>
          <w:lang w:eastAsia="he-IL"/>
        </w:rPr>
        <w:fldChar w:fldCharType="end"/>
      </w:r>
    </w:p>
    <w:p w:rsidR="00C06FE7" w:rsidRPr="00C06FE7" w:rsidRDefault="00C06FE7" w:rsidP="00C06FE7">
      <w:pPr>
        <w:pBdr>
          <w:top w:val="single" w:sz="4" w:space="0" w:color="auto"/>
          <w:left w:val="single" w:sz="4" w:space="0" w:color="auto"/>
          <w:bottom w:val="single" w:sz="4" w:space="0" w:color="auto"/>
          <w:right w:val="single" w:sz="4" w:space="0" w:color="auto"/>
        </w:pBdr>
        <w:tabs>
          <w:tab w:val="left" w:pos="2552"/>
        </w:tabs>
        <w:overflowPunct w:val="0"/>
        <w:autoSpaceDE w:val="0"/>
        <w:autoSpaceDN w:val="0"/>
        <w:adjustRightInd w:val="0"/>
        <w:spacing w:after="120" w:line="240" w:lineRule="exact"/>
        <w:ind w:left="283" w:hanging="283"/>
        <w:jc w:val="both"/>
        <w:rPr>
          <w:rFonts w:ascii="FrankRuehl" w:eastAsia="Times New Roman" w:hAnsi="FrankRuehl" w:cs="FrankRuehl"/>
          <w:sz w:val="24"/>
          <w:szCs w:val="24"/>
          <w:u w:val="single"/>
          <w:rtl/>
          <w:lang w:eastAsia="he-IL"/>
        </w:rPr>
      </w:pPr>
      <w:hyperlink r:id="rId7" w:history="1">
        <w:r w:rsidRPr="00C06FE7">
          <w:rPr>
            <w:rFonts w:ascii="FrankRuehl" w:eastAsia="Times New Roman" w:hAnsi="FrankRuehl" w:cs="FrankRuehl"/>
            <w:color w:val="0000FF"/>
            <w:sz w:val="24"/>
            <w:szCs w:val="24"/>
            <w:u w:val="single"/>
            <w:rtl/>
            <w:lang w:eastAsia="he-IL"/>
          </w:rPr>
          <w:t xml:space="preserve">שלום לרנר, "קיזוז חיובים מותנים בפשיטת-רגל", משפטים, כרך </w:t>
        </w:r>
        <w:proofErr w:type="spellStart"/>
        <w:r w:rsidRPr="00C06FE7">
          <w:rPr>
            <w:rFonts w:ascii="FrankRuehl" w:eastAsia="Times New Roman" w:hAnsi="FrankRuehl" w:cs="FrankRuehl"/>
            <w:color w:val="0000FF"/>
            <w:sz w:val="24"/>
            <w:szCs w:val="24"/>
            <w:u w:val="single"/>
            <w:rtl/>
            <w:lang w:eastAsia="he-IL"/>
          </w:rPr>
          <w:t>כב</w:t>
        </w:r>
        <w:proofErr w:type="spellEnd"/>
        <w:r w:rsidRPr="00C06FE7">
          <w:rPr>
            <w:rFonts w:ascii="FrankRuehl" w:eastAsia="Times New Roman" w:hAnsi="FrankRuehl" w:cs="FrankRuehl"/>
            <w:color w:val="0000FF"/>
            <w:sz w:val="24"/>
            <w:szCs w:val="24"/>
            <w:u w:val="single"/>
            <w:rtl/>
            <w:lang w:eastAsia="he-IL"/>
          </w:rPr>
          <w:t xml:space="preserve"> (תשנ"ג-תשנ"ד) 219</w:t>
        </w:r>
      </w:hyperlink>
    </w:p>
    <w:p w:rsidR="00C06FE7" w:rsidRPr="00C06FE7" w:rsidRDefault="00C06FE7" w:rsidP="00C06FE7">
      <w:pPr>
        <w:tabs>
          <w:tab w:val="left" w:pos="2552"/>
        </w:tabs>
        <w:overflowPunct w:val="0"/>
        <w:autoSpaceDE w:val="0"/>
        <w:autoSpaceDN w:val="0"/>
        <w:adjustRightInd w:val="0"/>
        <w:spacing w:after="0" w:line="480" w:lineRule="auto"/>
        <w:rPr>
          <w:rFonts w:ascii="Times New Roman" w:eastAsia="Times New Roman" w:hAnsi="Times New Roman" w:cs="Times New Roman"/>
          <w:sz w:val="24"/>
          <w:szCs w:val="24"/>
          <w:rtl/>
          <w:lang w:eastAsia="he-IL"/>
        </w:rPr>
      </w:pPr>
    </w:p>
    <w:p w:rsidR="00C06FE7" w:rsidRPr="00C06FE7" w:rsidRDefault="00C06FE7" w:rsidP="00C06FE7">
      <w:pPr>
        <w:tabs>
          <w:tab w:val="left" w:pos="2552"/>
        </w:tabs>
        <w:overflowPunct w:val="0"/>
        <w:autoSpaceDE w:val="0"/>
        <w:autoSpaceDN w:val="0"/>
        <w:adjustRightInd w:val="0"/>
        <w:spacing w:after="0" w:line="480" w:lineRule="auto"/>
        <w:rPr>
          <w:rFonts w:ascii="Times New Roman" w:eastAsia="Times New Roman" w:hAnsi="Times New Roman" w:cs="Times New Roman"/>
          <w:sz w:val="24"/>
          <w:szCs w:val="24"/>
          <w:rtl/>
          <w:lang w:eastAsia="he-IL"/>
        </w:rPr>
      </w:pPr>
    </w:p>
    <w:p w:rsidR="00C06FE7" w:rsidRPr="00C06FE7" w:rsidRDefault="00C06FE7" w:rsidP="00C06FE7">
      <w:pPr>
        <w:tabs>
          <w:tab w:val="left" w:pos="2552"/>
        </w:tabs>
        <w:overflowPunct w:val="0"/>
        <w:autoSpaceDE w:val="0"/>
        <w:autoSpaceDN w:val="0"/>
        <w:adjustRightInd w:val="0"/>
        <w:spacing w:after="0" w:line="480" w:lineRule="auto"/>
        <w:rPr>
          <w:rFonts w:ascii="Times New Roman" w:eastAsia="Times New Roman" w:hAnsi="Times New Roman" w:cs="Times New Roman" w:hint="cs"/>
          <w:sz w:val="24"/>
          <w:szCs w:val="24"/>
          <w:rtl/>
          <w:lang w:eastAsia="he-IL"/>
        </w:rPr>
      </w:pPr>
    </w:p>
    <w:p w:rsidR="00C06FE7" w:rsidRPr="00C06FE7" w:rsidRDefault="00C06FE7" w:rsidP="00C06FE7">
      <w:pPr>
        <w:pBdr>
          <w:top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bookmarkStart w:id="3" w:name="ABSTRACT_START"/>
      <w:bookmarkEnd w:id="3"/>
      <w:r w:rsidRPr="00C06FE7">
        <w:rPr>
          <w:rFonts w:ascii="Times New Roman" w:eastAsia="Times New Roman" w:hAnsi="Times New Roman" w:cs="FrankRuehl"/>
          <w:sz w:val="24"/>
          <w:szCs w:val="26"/>
          <w:rtl/>
          <w:lang w:eastAsia="he-IL"/>
        </w:rPr>
        <w:t>מיני-רציו:</w:t>
      </w:r>
    </w:p>
    <w:p w:rsidR="00C06FE7" w:rsidRPr="00C06FE7" w:rsidRDefault="00C06FE7" w:rsidP="00C06FE7">
      <w:pPr>
        <w:pBdr>
          <w:top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hint="cs"/>
          <w:sz w:val="24"/>
          <w:szCs w:val="26"/>
          <w:rtl/>
          <w:lang w:eastAsia="he-IL"/>
        </w:rPr>
        <w:t xml:space="preserve">* </w:t>
      </w:r>
      <w:r w:rsidRPr="00C06FE7">
        <w:rPr>
          <w:rFonts w:ascii="Times New Roman" w:eastAsia="Times New Roman" w:hAnsi="Times New Roman" w:cs="FrankRuehl"/>
          <w:sz w:val="24"/>
          <w:szCs w:val="26"/>
          <w:rtl/>
          <w:lang w:eastAsia="he-IL"/>
        </w:rPr>
        <w:t>חברות – פירוק – קיזוז</w:t>
      </w:r>
    </w:p>
    <w:p w:rsidR="00C06FE7" w:rsidRPr="00C06FE7" w:rsidRDefault="00C06FE7" w:rsidP="00C06FE7">
      <w:pPr>
        <w:pBdr>
          <w:top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הדיון נסב אודות השאלה האם נושה של חברה בפירוק, הבנק למסחר, שהוא גם חייב של החברה, זכאי לקזז חוב שהחברה חבה לו, מחובו כלפי החברה, ובדרך זו להיפרע מהחברה את חובה כלפיו.</w:t>
      </w:r>
    </w:p>
    <w:p w:rsidR="00C06FE7" w:rsidRPr="00C06FE7" w:rsidRDefault="00C06FE7" w:rsidP="00C06FE7">
      <w:pPr>
        <w:pBdr>
          <w:top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hint="cs"/>
          <w:sz w:val="24"/>
          <w:szCs w:val="26"/>
          <w:rtl/>
          <w:lang w:eastAsia="he-IL"/>
        </w:rPr>
        <w:t>.</w:t>
      </w:r>
    </w:p>
    <w:p w:rsidR="00C06FE7" w:rsidRPr="00C06FE7" w:rsidRDefault="00C06FE7" w:rsidP="00C06FE7">
      <w:pPr>
        <w:pBdr>
          <w:top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ביהמ"ש העליון קיבל את הערעור ופסק כי:</w:t>
      </w:r>
    </w:p>
    <w:p w:rsidR="00C06FE7" w:rsidRPr="00C06FE7" w:rsidRDefault="00C06FE7" w:rsidP="00C06FE7">
      <w:pPr>
        <w:pBdr>
          <w:top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זכות הקיזוז של חובות שחב חייב הנמצא בהליכי פשיטת רגל מחובות שחבים לו, מוסדרת בסעיף 74 ל</w:t>
      </w:r>
      <w:hyperlink r:id="rId8" w:history="1">
        <w:r w:rsidRPr="00C06FE7">
          <w:rPr>
            <w:rFonts w:ascii="Times New Roman" w:eastAsia="Times New Roman" w:hAnsi="Times New Roman" w:cs="FrankRuehl"/>
            <w:color w:val="0000FF"/>
            <w:sz w:val="24"/>
            <w:szCs w:val="26"/>
            <w:u w:val="single"/>
            <w:rtl/>
            <w:lang w:eastAsia="he-IL"/>
          </w:rPr>
          <w:t>פקודת פשיטת הרגל</w:t>
        </w:r>
      </w:hyperlink>
      <w:r w:rsidRPr="00C06FE7">
        <w:rPr>
          <w:rFonts w:ascii="Times New Roman" w:eastAsia="Times New Roman" w:hAnsi="Times New Roman" w:cs="FrankRuehl"/>
          <w:sz w:val="24"/>
          <w:szCs w:val="26"/>
          <w:rtl/>
          <w:lang w:eastAsia="he-IL"/>
        </w:rPr>
        <w:t>. סעיף זה חל על פירוק חברות מכוח סעיף 353 ל</w:t>
      </w:r>
      <w:hyperlink r:id="rId9" w:history="1">
        <w:r w:rsidRPr="00C06FE7">
          <w:rPr>
            <w:rFonts w:ascii="Times New Roman" w:eastAsia="Times New Roman" w:hAnsi="Times New Roman" w:cs="FrankRuehl"/>
            <w:color w:val="0000FF"/>
            <w:sz w:val="24"/>
            <w:szCs w:val="26"/>
            <w:u w:val="single"/>
            <w:rtl/>
            <w:lang w:eastAsia="he-IL"/>
          </w:rPr>
          <w:t>פקודת החברות</w:t>
        </w:r>
      </w:hyperlink>
      <w:r w:rsidRPr="00C06FE7">
        <w:rPr>
          <w:rFonts w:ascii="Times New Roman" w:eastAsia="Times New Roman" w:hAnsi="Times New Roman" w:cs="FrankRuehl"/>
          <w:sz w:val="24"/>
          <w:szCs w:val="26"/>
          <w:rtl/>
          <w:lang w:eastAsia="he-IL"/>
        </w:rPr>
        <w:t>. זהו הסדר מיוחד בהליכי פשיטת רגל ופירוק חברות הגובר על ההסדר הכללי של קיזוז הקבוע בסעיף 53 ל</w:t>
      </w:r>
      <w:hyperlink r:id="rId10" w:history="1">
        <w:r w:rsidRPr="00C06FE7">
          <w:rPr>
            <w:rFonts w:ascii="Times New Roman" w:eastAsia="Times New Roman" w:hAnsi="Times New Roman" w:cs="FrankRuehl"/>
            <w:color w:val="0000FF"/>
            <w:sz w:val="24"/>
            <w:szCs w:val="26"/>
            <w:u w:val="single"/>
            <w:rtl/>
            <w:lang w:eastAsia="he-IL"/>
          </w:rPr>
          <w:t>חוק החוזים</w:t>
        </w:r>
      </w:hyperlink>
      <w:r w:rsidRPr="00C06FE7">
        <w:rPr>
          <w:rFonts w:ascii="Times New Roman" w:eastAsia="Times New Roman" w:hAnsi="Times New Roman" w:cs="FrankRuehl"/>
          <w:sz w:val="24"/>
          <w:szCs w:val="26"/>
          <w:rtl/>
          <w:lang w:eastAsia="he-IL"/>
        </w:rPr>
        <w:t>.</w:t>
      </w:r>
    </w:p>
    <w:p w:rsidR="00C06FE7" w:rsidRPr="00C06FE7" w:rsidRDefault="00C06FE7" w:rsidP="00C06FE7">
      <w:pPr>
        <w:pBdr>
          <w:bottom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הוראת הקיזוז שבסעיף 74 ל</w:t>
      </w:r>
      <w:hyperlink r:id="rId11" w:history="1">
        <w:r w:rsidRPr="00C06FE7">
          <w:rPr>
            <w:rFonts w:ascii="Times New Roman" w:eastAsia="Times New Roman" w:hAnsi="Times New Roman" w:cs="FrankRuehl"/>
            <w:color w:val="0000FF"/>
            <w:sz w:val="24"/>
            <w:szCs w:val="26"/>
            <w:u w:val="single"/>
            <w:rtl/>
            <w:lang w:eastAsia="he-IL"/>
          </w:rPr>
          <w:t>פקודת פשיטת הרגל</w:t>
        </w:r>
      </w:hyperlink>
      <w:r w:rsidRPr="00C06FE7">
        <w:rPr>
          <w:rFonts w:ascii="Times New Roman" w:eastAsia="Times New Roman" w:hAnsi="Times New Roman" w:cs="FrankRuehl"/>
          <w:sz w:val="24"/>
          <w:szCs w:val="26"/>
          <w:rtl/>
          <w:lang w:eastAsia="he-IL"/>
        </w:rPr>
        <w:t xml:space="preserve"> נועדה להגשים ארבע תכליות מרכזיות: מניעת העוול הנובע מאכיפת התחייבויותיו של צד לחוזה שעה שהתחייבות כלפיו שהופרה אינה מקוימת או מקוימת בחלקה (בדרך של חלוקת דיבידנד לנושים); הצגה מהימנה של מכלול היחסים שבין הצדדים; חסכון בהליכים משפטיים מיותרים; והקטנת הסיכון למפולת של גופים נוספים בעקבות פירוק החברה החייבת. עם זאת, זכות הקיזוז פוגעת בעיקרון השוויון בין הנושים, בכך שהיא מעניקה לנושה של חברה בפירוק אשר חב לחברה כספים יתרון על פני נושים אחרים, שאינם חבים כלפי החברה, בכך שהיא מאפשרת לו להיפרע את חוב החברה כלפיו, או חלקו, בדרך של קיזוז מחובו כלפי החברה. למעשה, כתוצאה מזכות הקיזוז מושווה מעמדו של בעל זכות קיזוז למעמדו של נושה מובטח, מבלי שנתקיימו תנאי היסוד הנדרשים בדרך-כלל לקיומה של בטוחה, כגון דרישת הרישום.</w:t>
      </w:r>
    </w:p>
    <w:p w:rsidR="00C06FE7" w:rsidRPr="00C06FE7" w:rsidRDefault="00C06FE7" w:rsidP="00C06FE7">
      <w:pPr>
        <w:pBdr>
          <w:bottom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כדי להגן על זכויות הנושים האחרים, ישנם מספר תנאים מוקדמים, שיש לפרשם בצמצום, להפעלת זכות הקיזוז: קיומו של "אשראי הדדי" או "חוב הדדי" או "עסקים הדדיים אחרים"; היות החוב המקוזז יהיה בר תביעה; "העסקים" בהם מדובר יצרו חיובים כספיים, או עשויים להסתיים לגבי כל אחד מהצדדים בחיובים כספיים; המועד הקובע לקיום ה"עסקים ההדדיים" הוא מועד צו הכינוס; והאשראי שניתן על-ידי הנושה המבקש להפעיל את זכות הקיזוז נוצר לפני שהנושה ידע על מעשה פשיטת הרגל.</w:t>
      </w:r>
    </w:p>
    <w:p w:rsidR="00C06FE7" w:rsidRPr="00C06FE7" w:rsidRDefault="00C06FE7" w:rsidP="00C06FE7">
      <w:pPr>
        <w:pBdr>
          <w:bottom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חיובים של חברה שקרסה וחדלה לפעול כלפי צד שלישי, הנוצרים לאחר מינויו של מפרק זמני לחברה וטרם מתן צו לפירוקה, יכולים להיחשב כ"אשראי הדדי או חוב הדדי או עסקים הדדיים אחרים" כהגדרת סעיף 74 ל</w:t>
      </w:r>
      <w:hyperlink r:id="rId12" w:history="1">
        <w:r w:rsidRPr="00C06FE7">
          <w:rPr>
            <w:rFonts w:ascii="Times New Roman" w:eastAsia="Times New Roman" w:hAnsi="Times New Roman" w:cs="FrankRuehl"/>
            <w:color w:val="0000FF"/>
            <w:sz w:val="24"/>
            <w:szCs w:val="26"/>
            <w:u w:val="single"/>
            <w:rtl/>
            <w:lang w:eastAsia="he-IL"/>
          </w:rPr>
          <w:t>פקודת פשיטת הרגל</w:t>
        </w:r>
      </w:hyperlink>
      <w:r w:rsidRPr="00C06FE7">
        <w:rPr>
          <w:rFonts w:ascii="Times New Roman" w:eastAsia="Times New Roman" w:hAnsi="Times New Roman" w:cs="FrankRuehl"/>
          <w:sz w:val="24"/>
          <w:szCs w:val="26"/>
          <w:rtl/>
          <w:lang w:eastAsia="he-IL"/>
        </w:rPr>
        <w:t>. מכאן שבנסיבות העניין, הסכם האשראי בין הצדדים נופל בגדרם של "עסקים הדדיים", שכן הוא ניתן במסגרת פעילותה העסקית של המערערת.</w:t>
      </w:r>
    </w:p>
    <w:p w:rsidR="00C06FE7" w:rsidRPr="00C06FE7" w:rsidRDefault="00C06FE7" w:rsidP="00C06FE7">
      <w:pPr>
        <w:pBdr>
          <w:bottom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 xml:space="preserve">מינוי מפרק זמני לחברה, כשלעצמו, אינו מביא לביטול חוזים שבין החברה לבין צדדים אשר התקשרו </w:t>
      </w:r>
      <w:proofErr w:type="spellStart"/>
      <w:r w:rsidRPr="00C06FE7">
        <w:rPr>
          <w:rFonts w:ascii="Times New Roman" w:eastAsia="Times New Roman" w:hAnsi="Times New Roman" w:cs="FrankRuehl"/>
          <w:sz w:val="24"/>
          <w:szCs w:val="26"/>
          <w:rtl/>
          <w:lang w:eastAsia="he-IL"/>
        </w:rPr>
        <w:t>עימה</w:t>
      </w:r>
      <w:proofErr w:type="spellEnd"/>
      <w:r w:rsidRPr="00C06FE7">
        <w:rPr>
          <w:rFonts w:ascii="Times New Roman" w:eastAsia="Times New Roman" w:hAnsi="Times New Roman" w:cs="FrankRuehl"/>
          <w:sz w:val="24"/>
          <w:szCs w:val="26"/>
          <w:rtl/>
          <w:lang w:eastAsia="he-IL"/>
        </w:rPr>
        <w:t xml:space="preserve"> בהסכמים טרם בקשת הפירוק. עם זאת, עשויים להיות מקרים בהם החייב חדל הפירעון אינו מסוגל, במצב שנוצר, לקיים את חיוביו. במצב דברים כזה ניתן לראות את החייב כמי שמתנער מן החוזה. התנערות כזו עולה כדי הפרה של החוזה על-ידי החייב, והיא מקנה לצד האחר זכות לפיצוי.</w:t>
      </w:r>
    </w:p>
    <w:p w:rsidR="00C06FE7" w:rsidRPr="00C06FE7" w:rsidRDefault="00C06FE7" w:rsidP="00C06FE7">
      <w:pPr>
        <w:pBdr>
          <w:bottom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במקרה דנן, העובדה שהפרת החוזה נגרמה עקב קריסת הבנק אינה שוללת את קיומם של עסקים הדדיים בין השניים, כמו גם את העובדה שהחיוב שצמח למערערת מקורו באותם עסקים. בנסיבות אלו, זכותו של הצד האחר לפיצוי ניתנת לקיזוז.</w:t>
      </w:r>
    </w:p>
    <w:p w:rsidR="00C06FE7" w:rsidRPr="00C06FE7" w:rsidRDefault="00C06FE7" w:rsidP="00C06FE7">
      <w:pPr>
        <w:pBdr>
          <w:bottom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lastRenderedPageBreak/>
        <w:t>רכישת זכות הקיזוז חייבת להיעשות בתום-לב. הסייג שעניינו בידיעת הטוען לקיזוז על מעשה פשיטת הרגל מתייחס אך למקרה בו אדם "נתן אשראי לחייב". ספק אם במקרה דנן, שבו מקור החוב הנטען של הבנק למערערת בהפרת חוזה על-ידי הבנק, חל חריג זה.</w:t>
      </w:r>
    </w:p>
    <w:p w:rsidR="00C06FE7" w:rsidRPr="00C06FE7" w:rsidRDefault="00C06FE7" w:rsidP="00C06FE7">
      <w:pPr>
        <w:pBdr>
          <w:bottom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הפרשנות שלפיה בכל מקרה בו חוזה נכרת לפני מתן צו הפירוק הזמני, אך הופר לאחריו, הפיצוי המגיע בגין ההפרה לא יהא ניתן לקיזוז בשל כך שההפרה אירעה לאחר מינויו של מפרק זמני, שאז הנושה כבר ידע על קריסת החברה - אינה תואמת את הרצון למנוע רכישת חוב שלא בתום לב. מכאן שגם הדרישה הקבועה בסעיף 74(א) סיפא לא מונעת את קיזוז החוב, רק משום שזה התגבש עקב הפרת ההסכם לאחר מינויו של המפרק הזמני.</w:t>
      </w:r>
    </w:p>
    <w:p w:rsidR="00C06FE7" w:rsidRPr="00C06FE7" w:rsidRDefault="00C06FE7" w:rsidP="00C06FE7">
      <w:pPr>
        <w:pBdr>
          <w:bottom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ככלל, המועד הקובע לעניין קיזוז בהליכי פירוק חברה בידי ביהמ"ש הוא מועד צו הפירוק. אין לסטות מהלכה זו אף שחלק מהשיקולים התומכים בה אינם חלים במקום שבו עם מינוי המפרק הזמני הופסקה פעילותה של החברה והוברר באופן חד משמעי שפני החברה לחיסול ולא לשיקום. זאת, בעיקר משום שהשאלה מהו המועד הקובע לצורך קיזוז היא שאלה שהתשובה עליה חייבת שתהא ודאית, כדי להימנע מהתדיינויות ממושכות וממחלוקות לא רצויות. גם עקרון השוויון בין הנושים מחייב קביעת מועד אחד להיווצרות חובות של חברה בפירוק כלפי כל הנושים. כמו-כן, לא רצוי לפתוח פרשנות מחודשת של סעיף 74 ללא בדיקה משפטית-כלכלית מקיפה.</w:t>
      </w:r>
    </w:p>
    <w:p w:rsidR="00C06FE7" w:rsidRPr="00C06FE7" w:rsidRDefault="00C06FE7" w:rsidP="00C06FE7">
      <w:pPr>
        <w:pBdr>
          <w:bottom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במקרה דנן, עצם העובדה שהחברה נמצאת במצב של חדלות פירעון אינה אמורה לשלול את זכות הקיזוז, גם אם היא פוגעת בנכסי החברה. החשש מפני עשיית "מקצי שיפורים" אינו מצדיק למנוע את הקיזוז המבוסס על חוב שצמח עקב הפרת החוזה על-ידי החייב. גם חדלות הפירעון, כשלעצמה, אינה אמורה למנוע את הקיזוז, ואין מקום, משיקול זה, לקבוע את המועד הקובע לעת מינוי המפרק הזמני, רק משום שבמועד זה החברה כבר הייתה במצב של חדלות הפירעון.</w:t>
      </w:r>
    </w:p>
    <w:p w:rsidR="00C06FE7" w:rsidRPr="00C06FE7" w:rsidRDefault="00C06FE7" w:rsidP="00C06FE7">
      <w:pPr>
        <w:pBdr>
          <w:bottom w:val="single" w:sz="4" w:space="1" w:color="auto"/>
        </w:pBdr>
        <w:tabs>
          <w:tab w:val="left" w:pos="2552"/>
        </w:tabs>
        <w:overflowPunct w:val="0"/>
        <w:autoSpaceDE w:val="0"/>
        <w:autoSpaceDN w:val="0"/>
        <w:adjustRightInd w:val="0"/>
        <w:spacing w:after="120" w:line="320" w:lineRule="exact"/>
        <w:jc w:val="both"/>
        <w:rPr>
          <w:rFonts w:ascii="Times New Roman" w:eastAsia="Times New Roman" w:hAnsi="Times New Roman" w:cs="FrankRuehl" w:hint="cs"/>
          <w:sz w:val="24"/>
          <w:szCs w:val="26"/>
          <w:rtl/>
          <w:lang w:eastAsia="he-IL"/>
        </w:rPr>
      </w:pPr>
      <w:r w:rsidRPr="00C06FE7">
        <w:rPr>
          <w:rFonts w:ascii="Times New Roman" w:eastAsia="Times New Roman" w:hAnsi="Times New Roman" w:cs="FrankRuehl"/>
          <w:sz w:val="24"/>
          <w:szCs w:val="26"/>
          <w:rtl/>
          <w:lang w:eastAsia="he-IL"/>
        </w:rPr>
        <w:t>אי הכרה בחובות תלויי קריסה אכן תגדיל את מסת הנכסים העומדת לחלוקה בין כלל הנושים הבלתי מובטחים אולם, משהוכרה זכות הקיזוז, חרף פגיעתה בקופת הפירוק, אין לעשות הבחנות בלתי צודקות בין נושים שונים רק כדי להגדיל את קופת הפירוק. קשה לראות מדוע חוב שמקורו בקריסת החברה יהא נחות, מבחינת אי הצדק אשר ייגרם לנושה אשר יידרש לשלם את מלוא חובו למפרק ובה בעת לקבל דיבידנד על חוב החברה כלפיו, מחוב שאינו קשור לקריסה, ומדוע שנושה מהסוג האחרון יועדף על פני נושה מהסוג הראשון.</w:t>
      </w:r>
      <w:bookmarkStart w:id="4" w:name="ABSTRACT_END"/>
      <w:bookmarkEnd w:id="4"/>
    </w:p>
    <w:p w:rsidR="00C06FE7" w:rsidRDefault="00C06FE7">
      <w:pPr>
        <w:rPr>
          <w:rFonts w:cs="David" w:hint="cs"/>
          <w:sz w:val="28"/>
          <w:szCs w:val="28"/>
          <w:rtl/>
        </w:rPr>
      </w:pPr>
    </w:p>
    <w:p w:rsidR="00C06FE7" w:rsidRDefault="00C06FE7">
      <w:pPr>
        <w:rPr>
          <w:rFonts w:cs="David" w:hint="cs"/>
          <w:sz w:val="28"/>
          <w:szCs w:val="28"/>
          <w:rtl/>
        </w:rPr>
      </w:pPr>
    </w:p>
    <w:p w:rsidR="00C06FE7" w:rsidRDefault="00C06FE7">
      <w:pPr>
        <w:rPr>
          <w:rFonts w:cs="David" w:hint="cs"/>
          <w:sz w:val="28"/>
          <w:szCs w:val="28"/>
          <w:rtl/>
        </w:rPr>
      </w:pPr>
    </w:p>
    <w:p w:rsidR="00C06FE7" w:rsidRPr="00855955" w:rsidRDefault="002D2702" w:rsidP="002D2702">
      <w:pPr>
        <w:ind w:left="720" w:hanging="720"/>
        <w:rPr>
          <w:rFonts w:cs="David"/>
          <w:b/>
          <w:bCs/>
          <w:sz w:val="32"/>
          <w:szCs w:val="32"/>
          <w:u w:val="single"/>
          <w:rtl/>
        </w:rPr>
      </w:pPr>
      <w:r w:rsidRPr="002D2702">
        <w:rPr>
          <w:rFonts w:cs="David" w:hint="cs"/>
          <w:b/>
          <w:bCs/>
          <w:sz w:val="32"/>
          <w:szCs w:val="32"/>
          <w:rtl/>
        </w:rPr>
        <w:t>2.</w:t>
      </w:r>
      <w:r w:rsidRPr="002D2702">
        <w:rPr>
          <w:rFonts w:cs="David" w:hint="cs"/>
          <w:b/>
          <w:bCs/>
          <w:sz w:val="32"/>
          <w:szCs w:val="32"/>
          <w:rtl/>
        </w:rPr>
        <w:tab/>
      </w:r>
      <w:r w:rsidR="00C06FE7" w:rsidRPr="00855955">
        <w:rPr>
          <w:rFonts w:cs="David" w:hint="cs"/>
          <w:b/>
          <w:bCs/>
          <w:sz w:val="32"/>
          <w:szCs w:val="32"/>
          <w:u w:val="single"/>
          <w:rtl/>
        </w:rPr>
        <w:t xml:space="preserve">ע"א 924406 </w:t>
      </w:r>
      <w:proofErr w:type="spellStart"/>
      <w:r w:rsidR="00C06FE7" w:rsidRPr="00855955">
        <w:rPr>
          <w:rFonts w:cs="David" w:hint="cs"/>
          <w:b/>
          <w:bCs/>
          <w:sz w:val="32"/>
          <w:szCs w:val="32"/>
          <w:u w:val="single"/>
          <w:rtl/>
        </w:rPr>
        <w:t>אקרשטיין</w:t>
      </w:r>
      <w:proofErr w:type="spellEnd"/>
      <w:r w:rsidR="00C06FE7" w:rsidRPr="00855955">
        <w:rPr>
          <w:rFonts w:cs="David" w:hint="cs"/>
          <w:b/>
          <w:bCs/>
          <w:sz w:val="32"/>
          <w:szCs w:val="32"/>
          <w:u w:val="single"/>
          <w:rtl/>
        </w:rPr>
        <w:t xml:space="preserve"> תעשיות בע"מ נ' איגלו </w:t>
      </w:r>
      <w:proofErr w:type="spellStart"/>
      <w:r w:rsidR="00C06FE7" w:rsidRPr="00855955">
        <w:rPr>
          <w:rFonts w:cs="David" w:hint="cs"/>
          <w:b/>
          <w:bCs/>
          <w:sz w:val="32"/>
          <w:szCs w:val="32"/>
          <w:u w:val="single"/>
          <w:rtl/>
        </w:rPr>
        <w:t>חברהקבלנית</w:t>
      </w:r>
      <w:proofErr w:type="spellEnd"/>
      <w:r w:rsidR="00C06FE7" w:rsidRPr="00855955">
        <w:rPr>
          <w:rFonts w:cs="David" w:hint="cs"/>
          <w:b/>
          <w:bCs/>
          <w:sz w:val="32"/>
          <w:szCs w:val="32"/>
          <w:u w:val="single"/>
          <w:rtl/>
        </w:rPr>
        <w:t xml:space="preserve"> לעבודות צנרת בניין ופיתוח בע"מ</w:t>
      </w:r>
    </w:p>
    <w:p w:rsidR="002A3FC4" w:rsidRDefault="00C06FE7" w:rsidP="00C06FE7">
      <w:pPr>
        <w:jc w:val="both"/>
        <w:rPr>
          <w:rFonts w:cs="David" w:hint="cs"/>
          <w:b/>
          <w:bCs/>
          <w:sz w:val="24"/>
          <w:szCs w:val="24"/>
          <w:u w:val="single"/>
          <w:rtl/>
        </w:rPr>
      </w:pPr>
      <w:r w:rsidRPr="00C06FE7">
        <w:rPr>
          <w:rFonts w:cs="David" w:hint="cs"/>
          <w:b/>
          <w:bCs/>
          <w:sz w:val="24"/>
          <w:szCs w:val="24"/>
          <w:rtl/>
        </w:rPr>
        <w:t xml:space="preserve">ניתן במסגרת הסדר נושים של חברה לצרף גם הסדר נושים של בעלי השליטה או בעלי מניות, אף כי בד"כ המקום הנכון לגיבוש הסדר כאמור הוא בפשיטת רגל של החייב ולא בתיק הקפאת ההליכים של החברה. לביהמ"ש סמכות לאשר הסדר כאמור ולכפות על בעלי הערבות האישית לוותר על הבטוחה, אם הושג רוב להסדר ויש תרומה ממשית של בעלי המניות להסדר שמצדיקה זאת. </w:t>
      </w:r>
    </w:p>
    <w:p w:rsidR="00C06FE7" w:rsidRPr="00865CD5" w:rsidRDefault="00C06FE7" w:rsidP="00C06FE7">
      <w:pPr>
        <w:pStyle w:val="Ruller4"/>
        <w:pBdr>
          <w:top w:val="single" w:sz="4" w:space="1" w:color="auto"/>
          <w:bottom w:val="single" w:sz="4" w:space="1" w:color="auto"/>
        </w:pBdr>
        <w:spacing w:before="120" w:line="320" w:lineRule="exact"/>
        <w:rPr>
          <w:rFonts w:ascii="Times New Roman" w:hAnsi="Times New Roman"/>
          <w:spacing w:val="0"/>
          <w:sz w:val="24"/>
          <w:szCs w:val="26"/>
          <w:rtl/>
        </w:rPr>
      </w:pPr>
      <w:r w:rsidRPr="00865CD5">
        <w:rPr>
          <w:rFonts w:ascii="Times New Roman" w:hAnsi="Times New Roman"/>
          <w:spacing w:val="0"/>
          <w:sz w:val="24"/>
          <w:szCs w:val="26"/>
          <w:rtl/>
        </w:rPr>
        <w:t xml:space="preserve">הסדר הנושים בענייננו אושר כדין בכל קבוצות הנשייה הרלוונטיות. בכלל זה, אושר ההסדר ע"י בנק הפועלים, אשר החזיק בתשעים אחוזים מסך הנשייה של קבוצת הנושים בעלי הערבות האישית. אמנם, </w:t>
      </w:r>
      <w:r w:rsidRPr="00865CD5">
        <w:rPr>
          <w:rFonts w:ascii="Times New Roman" w:hAnsi="Times New Roman"/>
          <w:spacing w:val="0"/>
          <w:sz w:val="24"/>
          <w:szCs w:val="26"/>
          <w:rtl/>
        </w:rPr>
        <w:lastRenderedPageBreak/>
        <w:t xml:space="preserve">קבוצת הנושים בעלי הערבות האישית מהווה בנסיבות העניין קבוצה בעלת אינטרס מיוחד המצדיק כינוס אסיפה נפרדת של קבוצה זו, ואולם משהושג הרוב הנדרש לאישור ההסכם גם בקרב קבוצה זו, בדין אישר בימ"ש קמא את ההסדר. </w:t>
      </w:r>
    </w:p>
    <w:p w:rsidR="00C06FE7" w:rsidRPr="00865CD5" w:rsidRDefault="00C06FE7" w:rsidP="00C06FE7">
      <w:pPr>
        <w:pStyle w:val="Ruller4"/>
        <w:pBdr>
          <w:top w:val="single" w:sz="4" w:space="1" w:color="auto"/>
          <w:bottom w:val="single" w:sz="4" w:space="1" w:color="auto"/>
        </w:pBdr>
        <w:spacing w:before="120" w:line="320" w:lineRule="exact"/>
        <w:rPr>
          <w:rFonts w:ascii="Times New Roman" w:hAnsi="Times New Roman"/>
          <w:spacing w:val="0"/>
          <w:sz w:val="24"/>
          <w:szCs w:val="26"/>
          <w:rtl/>
        </w:rPr>
      </w:pPr>
      <w:r w:rsidRPr="00865CD5">
        <w:rPr>
          <w:rFonts w:ascii="Times New Roman" w:hAnsi="Times New Roman"/>
          <w:spacing w:val="0"/>
          <w:sz w:val="24"/>
          <w:szCs w:val="26"/>
          <w:rtl/>
        </w:rPr>
        <w:t>הטענה לפיה בימ"ש הדן באישור הסדר נושים בהתאם לסעיף 350 ל</w:t>
      </w:r>
      <w:hyperlink r:id="rId13" w:history="1">
        <w:r w:rsidRPr="00865CD5">
          <w:rPr>
            <w:rFonts w:ascii="Times New Roman" w:hAnsi="Times New Roman"/>
            <w:spacing w:val="0"/>
            <w:sz w:val="24"/>
            <w:szCs w:val="26"/>
            <w:rtl/>
          </w:rPr>
          <w:t>חוק החברות</w:t>
        </w:r>
      </w:hyperlink>
      <w:r w:rsidRPr="00865CD5">
        <w:rPr>
          <w:rFonts w:ascii="Times New Roman" w:hAnsi="Times New Roman"/>
          <w:spacing w:val="0"/>
          <w:sz w:val="24"/>
          <w:szCs w:val="26"/>
          <w:rtl/>
        </w:rPr>
        <w:t xml:space="preserve"> אינו מוסמך להפטיר במסגרת ההסדר בעלי מניות מערבותם האישית, מנוגדת להלכה. מעניין כוכב השומרון עולה, כי מחזיקי הערבות האישית זכאים לכינוס אסיפה נפרדת, שבה יצביעו האם הם מסכימים להעניק הפטר לערבות בעל המניות. ברי, כי במידה והושג הרוב הדרוש באסיפה נפרדת מסוג זה, לא יימנע ביהמ"ש מאישור הסדר הנושים בשל התנגדות נושה מסוים, אם הטעם להתנגדות הינו העובדה כי הוא מחזיק בערבות אישית לחובותיו ואינו מסכים עם החלטת הרוב באסיפה. </w:t>
      </w:r>
    </w:p>
    <w:p w:rsidR="00C06FE7" w:rsidRPr="00865CD5" w:rsidRDefault="00C06FE7" w:rsidP="00C06FE7">
      <w:pPr>
        <w:pStyle w:val="Ruller4"/>
        <w:pBdr>
          <w:top w:val="single" w:sz="4" w:space="1" w:color="auto"/>
          <w:bottom w:val="single" w:sz="4" w:space="1" w:color="auto"/>
        </w:pBdr>
        <w:spacing w:before="120" w:line="320" w:lineRule="exact"/>
        <w:rPr>
          <w:rFonts w:ascii="Times New Roman" w:hAnsi="Times New Roman"/>
          <w:spacing w:val="0"/>
          <w:sz w:val="24"/>
          <w:szCs w:val="26"/>
          <w:rtl/>
        </w:rPr>
      </w:pPr>
      <w:r w:rsidRPr="00865CD5">
        <w:rPr>
          <w:rFonts w:ascii="Times New Roman" w:hAnsi="Times New Roman"/>
          <w:spacing w:val="0"/>
          <w:sz w:val="24"/>
          <w:szCs w:val="26"/>
          <w:rtl/>
        </w:rPr>
        <w:t xml:space="preserve">אף אם ניתן למצוא גישות לפיהן בנסיבות מסוימות אל לו לביהמ"ש לאשר הסדר נושים גם אם הושגה הסכמת רוב הנושים בקבוצות השונות, לרבות בקבוצת בעלי הערבויות האישיות, הרי שגם ע"פ גישות אלה לא מוטל בספק עצם סמכות ביהמ"ש לאשר הסדר נושים המפטיר בעלי מניות מערבותם האישית במסגרת סמכותו ע"פ סעיף 350 לחוק. </w:t>
      </w:r>
    </w:p>
    <w:p w:rsidR="00C06FE7" w:rsidRPr="00865CD5" w:rsidRDefault="00C06FE7" w:rsidP="00C06FE7">
      <w:pPr>
        <w:pStyle w:val="Ruller4"/>
        <w:pBdr>
          <w:top w:val="single" w:sz="4" w:space="1" w:color="auto"/>
          <w:bottom w:val="single" w:sz="4" w:space="1" w:color="auto"/>
        </w:pBdr>
        <w:spacing w:before="120" w:line="320" w:lineRule="exact"/>
        <w:rPr>
          <w:rFonts w:ascii="Times New Roman" w:hAnsi="Times New Roman"/>
          <w:spacing w:val="0"/>
          <w:sz w:val="24"/>
          <w:szCs w:val="26"/>
          <w:rtl/>
        </w:rPr>
      </w:pPr>
      <w:r w:rsidRPr="00865CD5">
        <w:rPr>
          <w:rFonts w:ascii="Times New Roman" w:hAnsi="Times New Roman"/>
          <w:spacing w:val="0"/>
          <w:sz w:val="24"/>
          <w:szCs w:val="26"/>
          <w:rtl/>
        </w:rPr>
        <w:t xml:space="preserve">כך, לדעת המלומדים אלשיך ואורבך ייתכן שיהיה מקום להביא הוכחה חד-משמעית כי הכשלת ההסדר והבאת בעלי המניות להליכי פשיטת רגל לא תניב לבעלי הערבויות האישיות כל תועלת ממשית. גם לפי גישה זו ההליך הנכון לבירור הנתונים הרלוונטיים לעניין אישור הסדר נושים המעניק הפטר לערב הינו הליך אישור הסדר הנושים בפני ביהמ"ש הדן בהסדר זה, ואין כל סימוכין לטענת המערערת כי ההליך הנכון לדון בהפטר לערב בסיטואציה כזו הוא במסגרת </w:t>
      </w:r>
      <w:hyperlink r:id="rId14" w:history="1">
        <w:r w:rsidRPr="00865CD5">
          <w:rPr>
            <w:rFonts w:ascii="Times New Roman" w:hAnsi="Times New Roman"/>
            <w:spacing w:val="0"/>
            <w:sz w:val="24"/>
            <w:szCs w:val="26"/>
            <w:rtl/>
          </w:rPr>
          <w:t>פקודת פשיטת הרגל</w:t>
        </w:r>
      </w:hyperlink>
      <w:r w:rsidRPr="00865CD5">
        <w:rPr>
          <w:rFonts w:ascii="Times New Roman" w:hAnsi="Times New Roman"/>
          <w:spacing w:val="0"/>
          <w:sz w:val="24"/>
          <w:szCs w:val="26"/>
          <w:rtl/>
        </w:rPr>
        <w:t xml:space="preserve">. </w:t>
      </w:r>
    </w:p>
    <w:p w:rsidR="00C06FE7" w:rsidRPr="00865CD5" w:rsidRDefault="00C06FE7" w:rsidP="00C06FE7">
      <w:pPr>
        <w:pStyle w:val="Ruller4"/>
        <w:pBdr>
          <w:top w:val="single" w:sz="4" w:space="1" w:color="auto"/>
          <w:bottom w:val="single" w:sz="4" w:space="1" w:color="auto"/>
        </w:pBdr>
        <w:spacing w:before="120" w:line="320" w:lineRule="exact"/>
        <w:rPr>
          <w:rFonts w:ascii="Times New Roman" w:hAnsi="Times New Roman"/>
          <w:spacing w:val="0"/>
          <w:sz w:val="24"/>
          <w:szCs w:val="26"/>
          <w:rtl/>
        </w:rPr>
      </w:pPr>
      <w:r w:rsidRPr="00865CD5">
        <w:rPr>
          <w:rFonts w:ascii="Times New Roman" w:hAnsi="Times New Roman"/>
          <w:spacing w:val="0"/>
          <w:sz w:val="24"/>
          <w:szCs w:val="26"/>
          <w:rtl/>
        </w:rPr>
        <w:t xml:space="preserve">בענייננו, בימ"ש קמא היה מוסמך לאשר את הסדר הנושים הכולל הפטר למשיב 2 אף בהעדר חקירת יכולת של המשיב 2, מששוכנע כי ההפטר משרת את מטרת הבראתה של החברה ובהתחשב, בין היתר, בתרומתו הכספית של המשיב 2 לחברה. בימ"ש קמא השתכנע כי עמידה על נקיטת הליך פשיטת רגל נגד המשיב 2 לא תביא תועלת לנושי החברה או לנושי הערב, ולא קיימת עילה להתערבות בקביעה זו. כן אין מקום להתערב בקביעתו כי המשיב 2 הינו גורם שהשקעתו ופעילותו בחברה הינן חיוניות. אכן, שיקול הדעת המוקנה לביהמ"ש באישור הסדר נושים הינו שיקול דעת רחב, וביהמ"ש העליון איננו סבור כי חרג בימ"ש מסמכותו בדרך בה הפעיל שיקול דעתו במקרה זה. </w:t>
      </w:r>
    </w:p>
    <w:p w:rsidR="00C06FE7" w:rsidRDefault="00C06FE7" w:rsidP="00C06FE7">
      <w:pPr>
        <w:jc w:val="both"/>
        <w:rPr>
          <w:rFonts w:cs="David" w:hint="cs"/>
          <w:sz w:val="24"/>
          <w:szCs w:val="24"/>
          <w:u w:val="single"/>
          <w:rtl/>
        </w:rPr>
      </w:pPr>
    </w:p>
    <w:p w:rsidR="002D2702" w:rsidRDefault="002D2702" w:rsidP="00C06FE7">
      <w:pPr>
        <w:jc w:val="both"/>
        <w:rPr>
          <w:rFonts w:cs="David" w:hint="cs"/>
          <w:sz w:val="24"/>
          <w:szCs w:val="24"/>
          <w:u w:val="single"/>
          <w:rtl/>
        </w:rPr>
      </w:pPr>
    </w:p>
    <w:p w:rsidR="002D2702" w:rsidRPr="002D2702" w:rsidRDefault="002D2702" w:rsidP="002D2702">
      <w:pPr>
        <w:ind w:left="720" w:hanging="720"/>
        <w:rPr>
          <w:rFonts w:cs="David"/>
          <w:b/>
          <w:bCs/>
          <w:sz w:val="32"/>
          <w:szCs w:val="32"/>
          <w:u w:val="single"/>
          <w:rtl/>
        </w:rPr>
      </w:pPr>
      <w:r w:rsidRPr="002D2702">
        <w:rPr>
          <w:rFonts w:cs="David" w:hint="cs"/>
          <w:b/>
          <w:bCs/>
          <w:sz w:val="32"/>
          <w:szCs w:val="32"/>
          <w:rtl/>
        </w:rPr>
        <w:t>3.</w:t>
      </w:r>
      <w:r w:rsidRPr="002D2702">
        <w:rPr>
          <w:rFonts w:cs="David" w:hint="cs"/>
          <w:b/>
          <w:bCs/>
          <w:sz w:val="32"/>
          <w:szCs w:val="32"/>
          <w:rtl/>
        </w:rPr>
        <w:tab/>
      </w:r>
      <w:r w:rsidRPr="002D2702">
        <w:rPr>
          <w:rFonts w:cs="David"/>
          <w:b/>
          <w:bCs/>
          <w:sz w:val="32"/>
          <w:szCs w:val="32"/>
          <w:u w:val="single"/>
          <w:rtl/>
        </w:rPr>
        <w:t>ע</w:t>
      </w:r>
      <w:r>
        <w:rPr>
          <w:rFonts w:cs="David" w:hint="cs"/>
          <w:b/>
          <w:bCs/>
          <w:sz w:val="32"/>
          <w:szCs w:val="32"/>
          <w:u w:val="single"/>
          <w:rtl/>
        </w:rPr>
        <w:t>"</w:t>
      </w:r>
      <w:r w:rsidRPr="002D2702">
        <w:rPr>
          <w:rFonts w:cs="David"/>
          <w:b/>
          <w:bCs/>
          <w:sz w:val="32"/>
          <w:szCs w:val="32"/>
          <w:u w:val="single"/>
          <w:rtl/>
        </w:rPr>
        <w:t>א  603/71</w:t>
      </w:r>
      <w:r w:rsidRPr="002D2702">
        <w:rPr>
          <w:rFonts w:cs="David"/>
          <w:b/>
          <w:bCs/>
          <w:sz w:val="32"/>
          <w:szCs w:val="32"/>
          <w:u w:val="single"/>
          <w:rtl/>
        </w:rPr>
        <w:tab/>
        <w:t xml:space="preserve"> בנק לאומי לישראל בע"מ נ' בנק ארץ-ישראל בריטניה בע"מ, ו-3 אח'</w:t>
      </w:r>
    </w:p>
    <w:p w:rsidR="002D2702" w:rsidRPr="002D2702" w:rsidRDefault="002D2702" w:rsidP="002D2702">
      <w:pPr>
        <w:jc w:val="both"/>
        <w:rPr>
          <w:rFonts w:cs="David" w:hint="cs"/>
          <w:b/>
          <w:bCs/>
          <w:sz w:val="24"/>
          <w:szCs w:val="24"/>
          <w:rtl/>
        </w:rPr>
      </w:pPr>
      <w:r w:rsidRPr="002D2702">
        <w:rPr>
          <w:rFonts w:cs="David" w:hint="cs"/>
          <w:b/>
          <w:bCs/>
          <w:sz w:val="24"/>
          <w:szCs w:val="24"/>
          <w:rtl/>
        </w:rPr>
        <w:t>מהותו</w:t>
      </w:r>
      <w:r>
        <w:rPr>
          <w:rFonts w:cs="David" w:hint="cs"/>
          <w:b/>
          <w:bCs/>
          <w:sz w:val="24"/>
          <w:szCs w:val="24"/>
          <w:rtl/>
        </w:rPr>
        <w:t xml:space="preserve"> של שעבוד צף ומשמעות </w:t>
      </w:r>
      <w:proofErr w:type="spellStart"/>
      <w:r>
        <w:rPr>
          <w:rFonts w:cs="David" w:hint="cs"/>
          <w:b/>
          <w:bCs/>
          <w:sz w:val="24"/>
          <w:szCs w:val="24"/>
          <w:rtl/>
        </w:rPr>
        <w:t>תניית</w:t>
      </w:r>
      <w:proofErr w:type="spellEnd"/>
      <w:r>
        <w:rPr>
          <w:rFonts w:cs="David" w:hint="cs"/>
          <w:b/>
          <w:bCs/>
          <w:sz w:val="24"/>
          <w:szCs w:val="24"/>
          <w:rtl/>
        </w:rPr>
        <w:t xml:space="preserve"> הגבלה בשעבוד צף אל מול שעבוד מאוחר שנעשה בניגוד לאיסור זה.</w:t>
      </w:r>
    </w:p>
    <w:p w:rsidR="002D2702" w:rsidRDefault="002D2702" w:rsidP="00C06FE7">
      <w:pPr>
        <w:jc w:val="both"/>
        <w:rPr>
          <w:rFonts w:cs="David" w:hint="cs"/>
          <w:sz w:val="24"/>
          <w:szCs w:val="24"/>
          <w:u w:val="single"/>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בית-המשפט העליון פסק</w:t>
      </w:r>
      <w:r w:rsidRPr="002D2702">
        <w:rPr>
          <w:rFonts w:ascii="Times New Roman" w:eastAsia="MS Mincho" w:hAnsi="Times New Roman" w:cs="FrankRuehl" w:hint="cs"/>
          <w:sz w:val="20"/>
          <w:rtl/>
        </w:rPr>
        <w:t>:</w:t>
      </w: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א. (1) עם מינוי כונס נכסים מתגבש השעבוד הצף, לגבי הנכסים המצויים באותה שעה בידי החברה.</w:t>
      </w: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(2) שעבוד מיוחד שעשתה החברה לפני מועד הגיבוש נעשה כדין והוא עדיף על פני השעבוד הצף שנכנס רק לאחר-מכן לתקפו.</w:t>
      </w: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(3) שעבוד צף הינו שעבוד מן היושר ובתור שכזה הוא נדחה בפני זכות שבדין שנרכשה בתום-לב ובתמורה.</w:t>
      </w: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(4) אולם גם מי שנוטל שעבוד מיוחד בידיעת קיומו של השעבוד הצף, השעבוד עומד לו.</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lastRenderedPageBreak/>
        <w:t xml:space="preserve"> (5) הגבלה באיגרת-החוב, לפיה לא תוכל החברה למשכן נכס בשעבוד מיוחד</w:t>
      </w:r>
      <w:r>
        <w:rPr>
          <w:rFonts w:ascii="Times New Roman" w:eastAsia="MS Mincho" w:hAnsi="Times New Roman" w:cs="FrankRuehl" w:hint="cs"/>
          <w:sz w:val="20"/>
          <w:rtl/>
        </w:rPr>
        <w:t xml:space="preserve"> </w:t>
      </w:r>
      <w:r w:rsidRPr="002D2702">
        <w:rPr>
          <w:rFonts w:ascii="Times New Roman" w:eastAsia="MS Mincho" w:hAnsi="Times New Roman" w:cs="FrankRuehl"/>
          <w:sz w:val="20"/>
          <w:rtl/>
        </w:rPr>
        <w:t xml:space="preserve"> ללא הסכמת המלווה, כוחה יפה גם כלפי בעל משכון מיוחד מן הדין, כל עוד לא נטל משכונו בתמורה ובתום-לב.</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ב. (1) סעיף 123(3) ל</w:t>
      </w:r>
      <w:hyperlink r:id="rId15" w:history="1">
        <w:r w:rsidRPr="002D2702">
          <w:rPr>
            <w:rFonts w:ascii="Times New Roman" w:eastAsia="MS Mincho" w:hAnsi="Times New Roman" w:cs="FrankRuehl"/>
            <w:color w:val="0000FF"/>
            <w:sz w:val="20"/>
            <w:u w:val="single"/>
            <w:rtl/>
            <w:lang w:eastAsia="he-IL"/>
          </w:rPr>
          <w:t>פקודת החברות</w:t>
        </w:r>
      </w:hyperlink>
      <w:r w:rsidRPr="002D2702">
        <w:rPr>
          <w:rFonts w:ascii="Times New Roman" w:eastAsia="MS Mincho" w:hAnsi="Times New Roman" w:cs="FrankRuehl"/>
          <w:sz w:val="20"/>
          <w:rtl/>
        </w:rPr>
        <w:t xml:space="preserve"> בא להבהיר </w:t>
      </w:r>
      <w:proofErr w:type="spellStart"/>
      <w:r w:rsidRPr="002D2702">
        <w:rPr>
          <w:rFonts w:ascii="Times New Roman" w:eastAsia="MS Mincho" w:hAnsi="Times New Roman" w:cs="FrankRuehl"/>
          <w:sz w:val="20"/>
          <w:rtl/>
        </w:rPr>
        <w:t>שבענין</w:t>
      </w:r>
      <w:proofErr w:type="spellEnd"/>
      <w:r w:rsidRPr="002D2702">
        <w:rPr>
          <w:rFonts w:ascii="Times New Roman" w:eastAsia="MS Mincho" w:hAnsi="Times New Roman" w:cs="FrankRuehl"/>
          <w:sz w:val="20"/>
          <w:rtl/>
        </w:rPr>
        <w:t xml:space="preserve"> עדיפות השעבוד לא דיני היושר קובעים.</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(2) השעבוד הצף תופס אף ללא רישום בספרי האחוזה, אך הפטור מחובת הרישום אינו נותן לו, אף-על-פי שקדם </w:t>
      </w:r>
      <w:proofErr w:type="spellStart"/>
      <w:r w:rsidRPr="002D2702">
        <w:rPr>
          <w:rFonts w:ascii="Times New Roman" w:eastAsia="MS Mincho" w:hAnsi="Times New Roman" w:cs="FrankRuehl"/>
          <w:sz w:val="20"/>
          <w:rtl/>
        </w:rPr>
        <w:t>למשכנתה</w:t>
      </w:r>
      <w:proofErr w:type="spellEnd"/>
      <w:r w:rsidRPr="002D2702">
        <w:rPr>
          <w:rFonts w:ascii="Times New Roman" w:eastAsia="MS Mincho" w:hAnsi="Times New Roman" w:cs="FrankRuehl"/>
          <w:sz w:val="20"/>
          <w:rtl/>
        </w:rPr>
        <w:t xml:space="preserve">, דין קדימה לעומת בעל </w:t>
      </w:r>
      <w:proofErr w:type="spellStart"/>
      <w:r w:rsidRPr="002D2702">
        <w:rPr>
          <w:rFonts w:ascii="Times New Roman" w:eastAsia="MS Mincho" w:hAnsi="Times New Roman" w:cs="FrankRuehl"/>
          <w:sz w:val="20"/>
          <w:rtl/>
        </w:rPr>
        <w:t>המשכנתה</w:t>
      </w:r>
      <w:proofErr w:type="spellEnd"/>
      <w:r w:rsidRPr="002D2702">
        <w:rPr>
          <w:rFonts w:ascii="Times New Roman" w:eastAsia="MS Mincho" w:hAnsi="Times New Roman" w:cs="FrankRuehl"/>
          <w:sz w:val="20"/>
          <w:rtl/>
        </w:rPr>
        <w:t xml:space="preserve"> שנטל כאילו בחוסר תום-לב, בגלל ידיעת השעבוד הקודם.</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(3) אין מניעה ליצירת שעבוד אחר מן היושר שהוא ‎</w:t>
      </w:r>
      <w:r w:rsidRPr="002D2702">
        <w:rPr>
          <w:rFonts w:ascii="Times New Roman" w:eastAsia="MS Mincho" w:hAnsi="Times New Roman" w:cs="FrankRuehl"/>
          <w:sz w:val="20"/>
        </w:rPr>
        <w:t>SUI GENERIS</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(4) מי שרכש זכות מן הדין, בידיעה על קיומו של שעבוד קודם, לרבות ההגבלה שנקבעה בו, חייב לסגת על-פי עקרונות כלליים של היושר.</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ג. (1) הגדרת שעבוד צף בסעיף 2(1) ל</w:t>
      </w:r>
      <w:hyperlink r:id="rId16" w:history="1">
        <w:r w:rsidRPr="002D2702">
          <w:rPr>
            <w:rFonts w:ascii="Times New Roman" w:eastAsia="MS Mincho" w:hAnsi="Times New Roman" w:cs="FrankRuehl"/>
            <w:color w:val="0000FF"/>
            <w:sz w:val="20"/>
            <w:u w:val="single"/>
            <w:rtl/>
            <w:lang w:eastAsia="he-IL"/>
          </w:rPr>
          <w:t>פקודת החברות</w:t>
        </w:r>
      </w:hyperlink>
      <w:r w:rsidRPr="002D2702">
        <w:rPr>
          <w:rFonts w:ascii="Times New Roman" w:eastAsia="MS Mincho" w:hAnsi="Times New Roman" w:cs="FrankRuehl"/>
          <w:sz w:val="20"/>
          <w:rtl/>
        </w:rPr>
        <w:t xml:space="preserve"> אינה מחייבת שלא להכיר בשעבוד דנן כשעבוד צף, הכפוף לכל הלכות הפקודה.</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(2) בהגדירו שעבוד צף ביקש נסח הפקודה להבליט תכונה </w:t>
      </w:r>
      <w:proofErr w:type="spellStart"/>
      <w:r w:rsidRPr="002D2702">
        <w:rPr>
          <w:rFonts w:ascii="Times New Roman" w:eastAsia="MS Mincho" w:hAnsi="Times New Roman" w:cs="FrankRuehl"/>
          <w:sz w:val="20"/>
          <w:rtl/>
        </w:rPr>
        <w:t>אפיינית</w:t>
      </w:r>
      <w:proofErr w:type="spellEnd"/>
      <w:r w:rsidRPr="002D2702">
        <w:rPr>
          <w:rFonts w:ascii="Times New Roman" w:eastAsia="MS Mincho" w:hAnsi="Times New Roman" w:cs="FrankRuehl"/>
          <w:sz w:val="20"/>
          <w:rtl/>
        </w:rPr>
        <w:t xml:space="preserve"> של השעבוד, </w:t>
      </w:r>
      <w:proofErr w:type="spellStart"/>
      <w:r w:rsidRPr="002D2702">
        <w:rPr>
          <w:rFonts w:ascii="Times New Roman" w:eastAsia="MS Mincho" w:hAnsi="Times New Roman" w:cs="FrankRuehl"/>
          <w:sz w:val="20"/>
          <w:rtl/>
        </w:rPr>
        <w:t>המבדילו</w:t>
      </w:r>
      <w:proofErr w:type="spellEnd"/>
      <w:r w:rsidRPr="002D2702">
        <w:rPr>
          <w:rFonts w:ascii="Times New Roman" w:eastAsia="MS Mincho" w:hAnsi="Times New Roman" w:cs="FrankRuehl"/>
          <w:sz w:val="20"/>
          <w:rtl/>
        </w:rPr>
        <w:t xml:space="preserve"> משעבוד קבוע.</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(3) משהוגבל כוחה של חברה להוציא נכס מרשותה, ממילא תיפסל </w:t>
      </w:r>
      <w:proofErr w:type="spellStart"/>
      <w:r w:rsidRPr="002D2702">
        <w:rPr>
          <w:rFonts w:ascii="Times New Roman" w:eastAsia="MS Mincho" w:hAnsi="Times New Roman" w:cs="FrankRuehl"/>
          <w:sz w:val="20"/>
          <w:rtl/>
        </w:rPr>
        <w:t>העיסקה</w:t>
      </w:r>
      <w:proofErr w:type="spellEnd"/>
      <w:r w:rsidRPr="002D2702">
        <w:rPr>
          <w:rFonts w:ascii="Times New Roman" w:eastAsia="MS Mincho" w:hAnsi="Times New Roman" w:cs="FrankRuehl"/>
          <w:sz w:val="20"/>
          <w:rtl/>
        </w:rPr>
        <w:t xml:space="preserve"> זולת אם רכש אדם זכות מן הדין בתום-לב ובעד ערך, אך הפרת התחייבותה של החברה שלא למכור או לא למשכן נכסיה משמשת גם עילה לאכיפת השעבוד הצף ולגיבושו.</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ד. (1) אך מקום ששעבוד צף שולל כוחה של חברה למשכן נכסים על דרך של שעבוד מיוחד, אין הוא מונע לחלוטין שיקומו לבעל החוב מתחרים בעלי זכות קדימה.</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(2) חברה </w:t>
      </w:r>
      <w:proofErr w:type="spellStart"/>
      <w:r w:rsidRPr="002D2702">
        <w:rPr>
          <w:rFonts w:ascii="Times New Roman" w:eastAsia="MS Mincho" w:hAnsi="Times New Roman" w:cs="FrankRuehl"/>
          <w:sz w:val="20"/>
          <w:rtl/>
        </w:rPr>
        <w:t>ששיעבדה</w:t>
      </w:r>
      <w:proofErr w:type="spellEnd"/>
      <w:r w:rsidRPr="002D2702">
        <w:rPr>
          <w:rFonts w:ascii="Times New Roman" w:eastAsia="MS Mincho" w:hAnsi="Times New Roman" w:cs="FrankRuehl"/>
          <w:sz w:val="20"/>
          <w:rtl/>
        </w:rPr>
        <w:t xml:space="preserve"> את כל מפעלה בשעבוד צף קנתה לאחר-מכן נכס בלא לשלם את מלוא המחיר, קם למוכר שעבוד מן היושר להבטחת תשלום העודף.</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2D2702" w:rsidRDefault="002D2702" w:rsidP="002D2702">
      <w:pPr>
        <w:spacing w:after="0" w:line="260" w:lineRule="exact"/>
        <w:jc w:val="both"/>
        <w:rPr>
          <w:rFonts w:ascii="Times New Roman" w:eastAsia="MS Mincho" w:hAnsi="Times New Roman" w:cs="FrankRuehl"/>
          <w:sz w:val="20"/>
          <w:rtl/>
        </w:rPr>
      </w:pPr>
      <w:r w:rsidRPr="002D2702">
        <w:rPr>
          <w:rFonts w:ascii="Times New Roman" w:eastAsia="MS Mincho" w:hAnsi="Times New Roman" w:cs="FrankRuehl"/>
          <w:sz w:val="20"/>
          <w:rtl/>
        </w:rPr>
        <w:t xml:space="preserve"> (3) בהתנגשות בין שעבוד המוכר ובין השעבוד הצף, שהם שניהם זכויות שביושר, שעבוד המוכר עדיף, ואף אם העביר את הנמכר על שם החברה, ורשם לטובתו משכנתה להבטחת היתרה המגיעה לו, באה זו תחת השעבוד שביושר והיא קודמת לשעבוד הצף.</w:t>
      </w:r>
    </w:p>
    <w:p w:rsidR="002D2702" w:rsidRPr="002D2702" w:rsidRDefault="002D2702" w:rsidP="002D2702">
      <w:pPr>
        <w:spacing w:after="0" w:line="260" w:lineRule="exact"/>
        <w:jc w:val="both"/>
        <w:rPr>
          <w:rFonts w:ascii="Times New Roman" w:eastAsia="MS Mincho" w:hAnsi="Times New Roman" w:cs="FrankRuehl"/>
          <w:sz w:val="20"/>
          <w:rtl/>
        </w:rPr>
      </w:pPr>
    </w:p>
    <w:p w:rsidR="002D2702" w:rsidRPr="00C06FE7" w:rsidRDefault="002D2702" w:rsidP="0036500D">
      <w:pPr>
        <w:spacing w:after="0" w:line="260" w:lineRule="exact"/>
        <w:jc w:val="both"/>
        <w:rPr>
          <w:rFonts w:cs="David"/>
          <w:sz w:val="24"/>
          <w:szCs w:val="24"/>
          <w:u w:val="single"/>
        </w:rPr>
      </w:pPr>
      <w:r w:rsidRPr="002D2702">
        <w:rPr>
          <w:rFonts w:ascii="Times New Roman" w:eastAsia="MS Mincho" w:hAnsi="Times New Roman" w:cs="FrankRuehl"/>
          <w:sz w:val="20"/>
          <w:rtl/>
        </w:rPr>
        <w:t xml:space="preserve"> (4) במקרה דנא בולט הקשר האמיץ בין רכישת המקרקעין על-ידי החברה ומתן הלוואה לשם כך על-ידי המערערים, </w:t>
      </w:r>
      <w:proofErr w:type="spellStart"/>
      <w:r w:rsidRPr="002D2702">
        <w:rPr>
          <w:rFonts w:ascii="Times New Roman" w:eastAsia="MS Mincho" w:hAnsi="Times New Roman" w:cs="FrankRuehl"/>
          <w:sz w:val="20"/>
          <w:rtl/>
        </w:rPr>
        <w:t>והמשכנתה</w:t>
      </w:r>
      <w:proofErr w:type="spellEnd"/>
      <w:r w:rsidRPr="002D2702">
        <w:rPr>
          <w:rFonts w:ascii="Times New Roman" w:eastAsia="MS Mincho" w:hAnsi="Times New Roman" w:cs="FrankRuehl"/>
          <w:sz w:val="20"/>
          <w:rtl/>
        </w:rPr>
        <w:t xml:space="preserve"> שניתנה להבטחת ההלוואה עדיפה על פני השעבוד הצף.</w:t>
      </w:r>
      <w:bookmarkStart w:id="5" w:name="_GoBack"/>
      <w:bookmarkEnd w:id="5"/>
    </w:p>
    <w:sectPr w:rsidR="002D2702" w:rsidRPr="00C06FE7" w:rsidSect="00A410E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TUR">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A1"/>
    <w:rsid w:val="00183E4A"/>
    <w:rsid w:val="001D1540"/>
    <w:rsid w:val="00211DC8"/>
    <w:rsid w:val="002A3FC4"/>
    <w:rsid w:val="002D2702"/>
    <w:rsid w:val="0036500D"/>
    <w:rsid w:val="006C3355"/>
    <w:rsid w:val="00855955"/>
    <w:rsid w:val="009779A2"/>
    <w:rsid w:val="00A410EC"/>
    <w:rsid w:val="00C06FE7"/>
    <w:rsid w:val="00F064A1"/>
    <w:rsid w:val="00F26E77"/>
    <w:rsid w:val="00F802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4">
    <w:name w:val="Ruller4"/>
    <w:basedOn w:val="a"/>
    <w:rsid w:val="00C06FE7"/>
    <w:pPr>
      <w:tabs>
        <w:tab w:val="left" w:pos="800"/>
      </w:tabs>
      <w:overflowPunct w:val="0"/>
      <w:autoSpaceDE w:val="0"/>
      <w:autoSpaceDN w:val="0"/>
      <w:adjustRightInd w:val="0"/>
      <w:spacing w:after="0" w:line="360" w:lineRule="auto"/>
      <w:jc w:val="both"/>
    </w:pPr>
    <w:rPr>
      <w:rFonts w:ascii="Arial TUR" w:eastAsia="Times New Roman" w:hAnsi="Arial TUR" w:cs="FrankRuehl"/>
      <w:spacing w:val="10"/>
      <w:szCs w:val="28"/>
    </w:rPr>
  </w:style>
  <w:style w:type="paragraph" w:styleId="a3">
    <w:name w:val="header"/>
    <w:basedOn w:val="a"/>
    <w:link w:val="a4"/>
    <w:rsid w:val="00C06FE7"/>
    <w:pPr>
      <w:tabs>
        <w:tab w:val="center" w:pos="4153"/>
        <w:tab w:val="right" w:pos="8306"/>
      </w:tabs>
      <w:overflowPunct w:val="0"/>
      <w:autoSpaceDE w:val="0"/>
      <w:autoSpaceDN w:val="0"/>
      <w:adjustRightInd w:val="0"/>
      <w:spacing w:after="0" w:line="240" w:lineRule="auto"/>
    </w:pPr>
    <w:rPr>
      <w:rFonts w:ascii="Times New Roman" w:eastAsia="Times New Roman" w:hAnsi="Times New Roman" w:cs="David"/>
      <w:sz w:val="20"/>
      <w:szCs w:val="24"/>
    </w:rPr>
  </w:style>
  <w:style w:type="character" w:customStyle="1" w:styleId="a4">
    <w:name w:val="כותרת עליונה תו"/>
    <w:basedOn w:val="a0"/>
    <w:link w:val="a3"/>
    <w:rsid w:val="00C06FE7"/>
    <w:rPr>
      <w:rFonts w:ascii="Times New Roman" w:eastAsia="Times New Roman" w:hAnsi="Times New Roman" w:cs="David"/>
      <w:sz w:val="20"/>
      <w:szCs w:val="24"/>
    </w:rPr>
  </w:style>
  <w:style w:type="paragraph" w:styleId="a5">
    <w:name w:val="List Paragraph"/>
    <w:basedOn w:val="a"/>
    <w:uiPriority w:val="34"/>
    <w:qFormat/>
    <w:rsid w:val="002D2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4">
    <w:name w:val="Ruller4"/>
    <w:basedOn w:val="a"/>
    <w:rsid w:val="00C06FE7"/>
    <w:pPr>
      <w:tabs>
        <w:tab w:val="left" w:pos="800"/>
      </w:tabs>
      <w:overflowPunct w:val="0"/>
      <w:autoSpaceDE w:val="0"/>
      <w:autoSpaceDN w:val="0"/>
      <w:adjustRightInd w:val="0"/>
      <w:spacing w:after="0" w:line="360" w:lineRule="auto"/>
      <w:jc w:val="both"/>
    </w:pPr>
    <w:rPr>
      <w:rFonts w:ascii="Arial TUR" w:eastAsia="Times New Roman" w:hAnsi="Arial TUR" w:cs="FrankRuehl"/>
      <w:spacing w:val="10"/>
      <w:szCs w:val="28"/>
    </w:rPr>
  </w:style>
  <w:style w:type="paragraph" w:styleId="a3">
    <w:name w:val="header"/>
    <w:basedOn w:val="a"/>
    <w:link w:val="a4"/>
    <w:rsid w:val="00C06FE7"/>
    <w:pPr>
      <w:tabs>
        <w:tab w:val="center" w:pos="4153"/>
        <w:tab w:val="right" w:pos="8306"/>
      </w:tabs>
      <w:overflowPunct w:val="0"/>
      <w:autoSpaceDE w:val="0"/>
      <w:autoSpaceDN w:val="0"/>
      <w:adjustRightInd w:val="0"/>
      <w:spacing w:after="0" w:line="240" w:lineRule="auto"/>
    </w:pPr>
    <w:rPr>
      <w:rFonts w:ascii="Times New Roman" w:eastAsia="Times New Roman" w:hAnsi="Times New Roman" w:cs="David"/>
      <w:sz w:val="20"/>
      <w:szCs w:val="24"/>
    </w:rPr>
  </w:style>
  <w:style w:type="character" w:customStyle="1" w:styleId="a4">
    <w:name w:val="כותרת עליונה תו"/>
    <w:basedOn w:val="a0"/>
    <w:link w:val="a3"/>
    <w:rsid w:val="00C06FE7"/>
    <w:rPr>
      <w:rFonts w:ascii="Times New Roman" w:eastAsia="Times New Roman" w:hAnsi="Times New Roman" w:cs="David"/>
      <w:sz w:val="20"/>
      <w:szCs w:val="24"/>
    </w:rPr>
  </w:style>
  <w:style w:type="paragraph" w:styleId="a5">
    <w:name w:val="List Paragraph"/>
    <w:basedOn w:val="a"/>
    <w:uiPriority w:val="34"/>
    <w:qFormat/>
    <w:rsid w:val="002D2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_html/law01/p198_001.htm" TargetMode="External"/><Relationship Id="rId13" Type="http://schemas.openxmlformats.org/officeDocument/2006/relationships/hyperlink" Target="http://www.nevo.co.il/law_html/law01/139_002.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vo.co.il/links/kitveyet/?Author=&#1500;&#1512;&#1504;&#1512;&amp;MaamarName=&#1511;&#1497;&#1494;&#1493;&#1494;%20&#1495;&#1497;&#1493;&#1489;&#1497;&#1501;%20&#1502;&#1493;&#1514;&#1504;&#1497;&#1501;%20&#1489;&#1508;&#1513;&#1497;&#1496;&#1514;-&#1512;&#1490;&#1500;" TargetMode="External"/><Relationship Id="rId12" Type="http://schemas.openxmlformats.org/officeDocument/2006/relationships/hyperlink" Target="http://www.nevo.co.il/law_html/law01/p198_001.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nevo.co.il/law_html/law01/139_003.htm" TargetMode="External"/><Relationship Id="rId1" Type="http://schemas.openxmlformats.org/officeDocument/2006/relationships/styles" Target="styles.xml"/><Relationship Id="rId6" Type="http://schemas.openxmlformats.org/officeDocument/2006/relationships/hyperlink" Target="http://www.nevo.co.il/Psika_word/mechozi/m021398e.doc" TargetMode="External"/><Relationship Id="rId11" Type="http://schemas.openxmlformats.org/officeDocument/2006/relationships/hyperlink" Target="http://www.nevo.co.il/law_html/law01/p198_001.htm" TargetMode="External"/><Relationship Id="rId5" Type="http://schemas.openxmlformats.org/officeDocument/2006/relationships/hyperlink" Target="http://www.nevo.co.il/Psika_word/mechozi/m021398e.doc" TargetMode="External"/><Relationship Id="rId15" Type="http://schemas.openxmlformats.org/officeDocument/2006/relationships/hyperlink" Target="http://www.nevo.co.il/law_html/law01/139_003.htm" TargetMode="External"/><Relationship Id="rId10" Type="http://schemas.openxmlformats.org/officeDocument/2006/relationships/hyperlink" Target="http://www.nevo.co.il/law_html/law01/142_002.htm" TargetMode="External"/><Relationship Id="rId4" Type="http://schemas.openxmlformats.org/officeDocument/2006/relationships/webSettings" Target="webSettings.xml"/><Relationship Id="rId9" Type="http://schemas.openxmlformats.org/officeDocument/2006/relationships/hyperlink" Target="http://www.nevo.co.il/law_html/law01/139_003.htm" TargetMode="External"/><Relationship Id="rId14" Type="http://schemas.openxmlformats.org/officeDocument/2006/relationships/hyperlink" Target="http://www.nevo.co.il/law_html/law01/p198_001.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1880</Words>
  <Characters>9400</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Shaul Kotler</dc:creator>
  <cp:lastModifiedBy>Shaul Kotler</cp:lastModifiedBy>
  <cp:revision>6</cp:revision>
  <dcterms:created xsi:type="dcterms:W3CDTF">2012-08-20T15:15:00Z</dcterms:created>
  <dcterms:modified xsi:type="dcterms:W3CDTF">2012-08-20T15:33:00Z</dcterms:modified>
</cp:coreProperties>
</file>