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F73" w:rsidRPr="00EA4F2A" w:rsidRDefault="00785961" w:rsidP="00766B3A">
      <w:pPr>
        <w:bidi w:val="0"/>
        <w:spacing w:before="750" w:after="300" w:line="510" w:lineRule="atLeast"/>
        <w:jc w:val="right"/>
        <w:outlineLvl w:val="0"/>
        <w:rPr>
          <w:rFonts w:ascii="almoni-dl" w:eastAsia="Times New Roman" w:hAnsi="almoni-dl" w:cs="Times New Roman"/>
          <w:b/>
          <w:bCs/>
          <w:color w:val="000000"/>
          <w:kern w:val="36"/>
          <w:sz w:val="28"/>
          <w:szCs w:val="28"/>
          <w:rtl/>
        </w:rPr>
      </w:pPr>
      <w:r>
        <w:rPr>
          <w:noProof/>
        </w:rPr>
        <w:drawing>
          <wp:inline distT="0" distB="0" distL="0" distR="0" wp14:anchorId="51145361" wp14:editId="13CF89DB">
            <wp:extent cx="650349" cy="689200"/>
            <wp:effectExtent l="0" t="0" r="0" b="0"/>
            <wp:docPr id="2" name="תמונה 2" descr="גלובס Dun’s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גלובס Dun’s 1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77" cy="689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moni-dl" w:eastAsia="Times New Roman" w:hAnsi="almoni-dl" w:cs="Times New Roman"/>
          <w:b/>
          <w:bCs/>
          <w:color w:val="000000"/>
          <w:kern w:val="36"/>
          <w:sz w:val="28"/>
          <w:szCs w:val="28"/>
        </w:rPr>
        <w:t xml:space="preserve">    </w:t>
      </w:r>
      <w:r w:rsidR="00F04F73" w:rsidRPr="00F04F73">
        <w:rPr>
          <w:rFonts w:ascii="almoni-dl" w:eastAsia="Times New Roman" w:hAnsi="almoni-dl" w:cs="Times New Roman"/>
          <w:b/>
          <w:bCs/>
          <w:color w:val="000000"/>
          <w:kern w:val="36"/>
          <w:sz w:val="28"/>
          <w:szCs w:val="28"/>
        </w:rPr>
        <w:t xml:space="preserve">DUNS </w:t>
      </w:r>
      <w:proofErr w:type="gramStart"/>
      <w:r w:rsidR="00F04F73" w:rsidRPr="00F04F73">
        <w:rPr>
          <w:rFonts w:ascii="almoni-dl" w:eastAsia="Times New Roman" w:hAnsi="almoni-dl" w:cs="Times New Roman"/>
          <w:b/>
          <w:bCs/>
          <w:color w:val="000000"/>
          <w:kern w:val="36"/>
          <w:sz w:val="28"/>
          <w:szCs w:val="28"/>
        </w:rPr>
        <w:t>100</w:t>
      </w:r>
      <w:r w:rsidR="00766B3A" w:rsidRPr="00EA4F2A">
        <w:rPr>
          <w:rFonts w:ascii="almoni-dl" w:eastAsia="Times New Roman" w:hAnsi="almoni-dl" w:cs="Times New Roman"/>
          <w:b/>
          <w:bCs/>
          <w:color w:val="000000"/>
          <w:kern w:val="36"/>
          <w:sz w:val="28"/>
          <w:szCs w:val="28"/>
        </w:rPr>
        <w:t xml:space="preserve">  </w:t>
      </w:r>
      <w:r w:rsidR="00F04F73" w:rsidRPr="00F04F73">
        <w:rPr>
          <w:rFonts w:ascii="almoni-dl" w:eastAsia="Times New Roman" w:hAnsi="almoni-dl" w:cs="Times New Roman"/>
          <w:b/>
          <w:bCs/>
          <w:color w:val="000000"/>
          <w:kern w:val="36"/>
          <w:sz w:val="28"/>
          <w:szCs w:val="28"/>
        </w:rPr>
        <w:t>:</w:t>
      </w:r>
      <w:proofErr w:type="gramEnd"/>
      <w:r w:rsidR="00F04F73" w:rsidRPr="00F04F73">
        <w:rPr>
          <w:rFonts w:ascii="almoni-dl" w:eastAsia="Times New Roman" w:hAnsi="almoni-dl" w:cs="Times New Roman"/>
          <w:b/>
          <w:bCs/>
          <w:color w:val="000000"/>
          <w:kern w:val="36"/>
          <w:sz w:val="28"/>
          <w:szCs w:val="28"/>
        </w:rPr>
        <w:t xml:space="preserve"> </w:t>
      </w:r>
      <w:r w:rsidR="00766B3A" w:rsidRPr="00F04F73">
        <w:rPr>
          <w:rFonts w:ascii="almoni-dl" w:eastAsia="Times New Roman" w:hAnsi="almoni-dl" w:cs="Times New Roman"/>
          <w:b/>
          <w:bCs/>
          <w:color w:val="000000"/>
          <w:kern w:val="36"/>
          <w:sz w:val="28"/>
          <w:szCs w:val="28"/>
          <w:rtl/>
        </w:rPr>
        <w:t>דירוג</w:t>
      </w:r>
      <w:r w:rsidR="00736E8B">
        <w:rPr>
          <w:rFonts w:ascii="almoni-dl" w:eastAsia="Times New Roman" w:hAnsi="almoni-dl" w:cs="Times New Roman" w:hint="cs"/>
          <w:b/>
          <w:bCs/>
          <w:color w:val="000000"/>
          <w:kern w:val="36"/>
          <w:sz w:val="28"/>
          <w:szCs w:val="28"/>
          <w:rtl/>
        </w:rPr>
        <w:t xml:space="preserve"> שנת</w:t>
      </w:r>
      <w:r w:rsidR="00766B3A" w:rsidRPr="00EA4F2A">
        <w:rPr>
          <w:rFonts w:ascii="almoni-dl" w:eastAsia="Times New Roman" w:hAnsi="almoni-dl" w:cs="Times New Roman"/>
          <w:b/>
          <w:bCs/>
          <w:color w:val="000000"/>
          <w:kern w:val="36"/>
          <w:sz w:val="28"/>
          <w:szCs w:val="28"/>
          <w:rtl/>
        </w:rPr>
        <w:t xml:space="preserve"> </w:t>
      </w:r>
      <w:r w:rsidR="00736E8B">
        <w:rPr>
          <w:rFonts w:ascii="almoni-dl" w:eastAsia="Times New Roman" w:hAnsi="almoni-dl" w:cs="Times New Roman" w:hint="cs"/>
          <w:b/>
          <w:bCs/>
          <w:color w:val="000000"/>
          <w:kern w:val="36"/>
          <w:sz w:val="28"/>
          <w:szCs w:val="28"/>
          <w:rtl/>
        </w:rPr>
        <w:t xml:space="preserve">2015 </w:t>
      </w:r>
      <w:r w:rsidR="00F04F73" w:rsidRPr="00F04F73">
        <w:rPr>
          <w:rFonts w:ascii="almoni-dl" w:eastAsia="Times New Roman" w:hAnsi="almoni-dl" w:cs="Times New Roman"/>
          <w:b/>
          <w:bCs/>
          <w:color w:val="000000"/>
          <w:kern w:val="36"/>
          <w:sz w:val="28"/>
          <w:szCs w:val="28"/>
          <w:rtl/>
        </w:rPr>
        <w:t xml:space="preserve">עורכי הדין </w:t>
      </w:r>
      <w:r>
        <w:rPr>
          <w:rFonts w:ascii="almoni-dl" w:eastAsia="Times New Roman" w:hAnsi="almoni-dl" w:cs="Times New Roman"/>
          <w:b/>
          <w:bCs/>
          <w:color w:val="000000"/>
          <w:kern w:val="36"/>
          <w:sz w:val="28"/>
          <w:szCs w:val="28"/>
        </w:rPr>
        <w:t xml:space="preserve">   </w:t>
      </w:r>
    </w:p>
    <w:p w:rsidR="00F04F73" w:rsidRPr="00F04F73" w:rsidRDefault="00F04F73" w:rsidP="00F04F73">
      <w:pPr>
        <w:bidi w:val="0"/>
        <w:spacing w:after="300" w:line="330" w:lineRule="atLeast"/>
        <w:jc w:val="right"/>
        <w:outlineLvl w:val="1"/>
        <w:rPr>
          <w:rFonts w:ascii="almoni-dl" w:eastAsia="Times New Roman" w:hAnsi="almoni-dl" w:cs="Times New Roman"/>
          <w:b/>
          <w:bCs/>
          <w:color w:val="666666"/>
          <w:sz w:val="26"/>
          <w:szCs w:val="26"/>
        </w:rPr>
      </w:pPr>
      <w:r w:rsidRPr="00F04F73">
        <w:rPr>
          <w:rFonts w:ascii="almoni-dl" w:eastAsia="Times New Roman" w:hAnsi="almoni-dl" w:cs="Times New Roman"/>
          <w:b/>
          <w:bCs/>
          <w:color w:val="666666"/>
          <w:sz w:val="26"/>
          <w:szCs w:val="26"/>
          <w:rtl/>
        </w:rPr>
        <w:t>משרדי עורכי-הדין דורגו לפי שלוש קבוצות איכות: "מוביל", "בולט" ו-"ידוע</w:t>
      </w:r>
      <w:r w:rsidRPr="00F04F73">
        <w:rPr>
          <w:rFonts w:ascii="almoni-dl" w:eastAsia="Times New Roman" w:hAnsi="almoni-dl" w:cs="Times New Roman"/>
          <w:b/>
          <w:bCs/>
          <w:color w:val="666666"/>
          <w:sz w:val="26"/>
          <w:szCs w:val="26"/>
        </w:rPr>
        <w:t>" </w:t>
      </w:r>
    </w:p>
    <w:p w:rsidR="00F04F73" w:rsidRPr="00F04F73" w:rsidRDefault="00F04F73" w:rsidP="00F04F73">
      <w:pPr>
        <w:bidi w:val="0"/>
        <w:spacing w:before="180" w:after="180" w:line="540" w:lineRule="atLeast"/>
        <w:jc w:val="right"/>
        <w:outlineLvl w:val="0"/>
        <w:rPr>
          <w:rFonts w:ascii="almoni-dl" w:eastAsia="Times New Roman" w:hAnsi="almoni-dl" w:cs="Times New Roman"/>
          <w:b/>
          <w:bCs/>
          <w:color w:val="000000"/>
          <w:kern w:val="36"/>
          <w:sz w:val="40"/>
          <w:szCs w:val="40"/>
        </w:rPr>
      </w:pPr>
      <w:r w:rsidRPr="00F04F73">
        <w:rPr>
          <w:rFonts w:ascii="almoni-dl" w:eastAsia="Times New Roman" w:hAnsi="almoni-dl" w:cs="Times New Roman"/>
          <w:b/>
          <w:bCs/>
          <w:color w:val="000000"/>
          <w:kern w:val="36"/>
          <w:sz w:val="40"/>
          <w:szCs w:val="40"/>
          <w:rtl/>
        </w:rPr>
        <w:t>קוטלר שאול</w:t>
      </w:r>
    </w:p>
    <w:p w:rsidR="00F04F73" w:rsidRDefault="00F04F73" w:rsidP="00736E8B">
      <w:pPr>
        <w:rPr>
          <w:rFonts w:hint="cs"/>
          <w:sz w:val="28"/>
          <w:szCs w:val="28"/>
          <w:rtl/>
        </w:rPr>
      </w:pPr>
      <w:r w:rsidRPr="00F04F73">
        <w:rPr>
          <w:rFonts w:ascii="almoni-dl" w:hAnsi="almoni-dl"/>
          <w:color w:val="000000"/>
          <w:sz w:val="28"/>
          <w:szCs w:val="28"/>
          <w:rtl/>
        </w:rPr>
        <w:t>ליטיגציה מסחרית, בנקאות ייצוג לקוחות בנקים, הליכי חדלות פירעון, פירוקים, פשיטות רגל, הקפאת הליכים</w:t>
      </w:r>
      <w:r w:rsidRPr="00F04F73">
        <w:rPr>
          <w:rFonts w:ascii="almoni-dl" w:hAnsi="almoni-dl"/>
          <w:color w:val="000000"/>
          <w:sz w:val="28"/>
          <w:szCs w:val="28"/>
        </w:rPr>
        <w:t>.</w:t>
      </w:r>
      <w:r w:rsidR="00736E8B">
        <w:rPr>
          <w:rFonts w:hint="cs"/>
          <w:sz w:val="28"/>
          <w:szCs w:val="28"/>
          <w:rtl/>
        </w:rPr>
        <w:t xml:space="preserve"> </w:t>
      </w:r>
      <w:r w:rsidRPr="00F04F73">
        <w:rPr>
          <w:rFonts w:hint="cs"/>
          <w:sz w:val="28"/>
          <w:szCs w:val="28"/>
          <w:highlight w:val="yellow"/>
          <w:rtl/>
        </w:rPr>
        <w:t xml:space="preserve">דירוג 2015 </w:t>
      </w:r>
      <w:r w:rsidRPr="00F04F73">
        <w:rPr>
          <w:sz w:val="28"/>
          <w:szCs w:val="28"/>
          <w:highlight w:val="yellow"/>
          <w:rtl/>
        </w:rPr>
        <w:t>–</w:t>
      </w:r>
      <w:r w:rsidRPr="00F04F73">
        <w:rPr>
          <w:rFonts w:hint="cs"/>
          <w:sz w:val="28"/>
          <w:szCs w:val="28"/>
          <w:highlight w:val="yellow"/>
          <w:rtl/>
        </w:rPr>
        <w:t xml:space="preserve"> בנקאות ומימון, כינוסים ופירוקים.</w:t>
      </w:r>
    </w:p>
    <w:p w:rsidR="00831D87" w:rsidRDefault="00831D87" w:rsidP="00736E8B">
      <w:pPr>
        <w:rPr>
          <w:rFonts w:hint="cs"/>
          <w:sz w:val="28"/>
          <w:szCs w:val="28"/>
          <w:rtl/>
        </w:rPr>
      </w:pPr>
      <w:hyperlink r:id="rId7" w:history="1">
        <w:r w:rsidRPr="00DA536A">
          <w:rPr>
            <w:rStyle w:val="Hyperlink"/>
            <w:sz w:val="28"/>
            <w:szCs w:val="28"/>
          </w:rPr>
          <w:t>http://duns100.globes.co.il/article-1001023513</w:t>
        </w:r>
      </w:hyperlink>
    </w:p>
    <w:p w:rsidR="00831D87" w:rsidRPr="00831D87" w:rsidRDefault="00831D87" w:rsidP="00736E8B">
      <w:pPr>
        <w:rPr>
          <w:rFonts w:hint="cs"/>
          <w:sz w:val="28"/>
          <w:szCs w:val="28"/>
          <w:rtl/>
        </w:rPr>
      </w:pPr>
      <w:bookmarkStart w:id="0" w:name="_GoBack"/>
      <w:bookmarkEnd w:id="0"/>
    </w:p>
    <w:p w:rsidR="00393B97" w:rsidRPr="00393B97" w:rsidRDefault="00393B97" w:rsidP="00F04F73">
      <w:pPr>
        <w:rPr>
          <w:sz w:val="16"/>
          <w:szCs w:val="16"/>
          <w:rtl/>
        </w:rPr>
      </w:pPr>
    </w:p>
    <w:sectPr w:rsidR="00393B97" w:rsidRPr="00393B97" w:rsidSect="006223EE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moni-d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B5D7B"/>
    <w:multiLevelType w:val="multilevel"/>
    <w:tmpl w:val="F370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73"/>
    <w:rsid w:val="00202EB2"/>
    <w:rsid w:val="00393B97"/>
    <w:rsid w:val="006223EE"/>
    <w:rsid w:val="00736E8B"/>
    <w:rsid w:val="00766B3A"/>
    <w:rsid w:val="00785961"/>
    <w:rsid w:val="00831D87"/>
    <w:rsid w:val="00A410EC"/>
    <w:rsid w:val="00B228DC"/>
    <w:rsid w:val="00EA4F2A"/>
    <w:rsid w:val="00F0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04F73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393B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04F73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393B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78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80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45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77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9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57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24" w:space="0" w:color="000000"/>
            <w:right w:val="none" w:sz="0" w:space="0" w:color="auto"/>
          </w:divBdr>
        </w:div>
      </w:divsChild>
    </w:div>
    <w:div w:id="2777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1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8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56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55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18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24" w:space="0" w:color="000000"/>
            <w:right w:val="none" w:sz="0" w:space="0" w:color="auto"/>
          </w:divBdr>
        </w:div>
      </w:divsChild>
    </w:div>
    <w:div w:id="4291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5029">
              <w:marLeft w:val="15"/>
              <w:marRight w:val="0"/>
              <w:marTop w:val="15"/>
              <w:marBottom w:val="0"/>
              <w:divBdr>
                <w:top w:val="single" w:sz="6" w:space="3" w:color="CCCCCC"/>
                <w:left w:val="single" w:sz="6" w:space="0" w:color="CCCCCC"/>
                <w:bottom w:val="single" w:sz="6" w:space="3" w:color="CCCCCC"/>
                <w:right w:val="single" w:sz="6" w:space="0" w:color="CCCCCC"/>
              </w:divBdr>
            </w:div>
          </w:divsChild>
        </w:div>
        <w:div w:id="15354592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40481">
          <w:marLeft w:val="0"/>
          <w:marRight w:val="0"/>
          <w:marTop w:val="0"/>
          <w:marBottom w:val="0"/>
          <w:divBdr>
            <w:top w:val="single" w:sz="24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8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uns100.globes.co.il/article-10010235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Shaul Kotler</dc:creator>
  <cp:lastModifiedBy>Shaul Kotler</cp:lastModifiedBy>
  <cp:revision>2</cp:revision>
  <cp:lastPrinted>2015-03-30T06:13:00Z</cp:lastPrinted>
  <dcterms:created xsi:type="dcterms:W3CDTF">2015-03-31T06:40:00Z</dcterms:created>
  <dcterms:modified xsi:type="dcterms:W3CDTF">2015-03-31T06:40:00Z</dcterms:modified>
</cp:coreProperties>
</file>